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869</w:t>
      </w:r>
      <w:r>
        <w:rPr>
          <w:rFonts w:ascii="Arial" w:hAnsi="Arial" w:cs="Arial"/>
          <w:sz w:val="18"/>
          <w:szCs w:val="18"/>
        </w:rPr>
        <w:t>,</w:t>
      </w:r>
      <w:r w:rsidR="00155BEA">
        <w:rPr>
          <w:rFonts w:ascii="Arial" w:hAnsi="Arial" w:cs="Arial"/>
          <w:sz w:val="18"/>
          <w:szCs w:val="18"/>
        </w:rPr>
        <w:t>877</w:t>
      </w:r>
      <w:r>
        <w:rPr>
          <w:rFonts w:ascii="Arial" w:hAnsi="Arial" w:cs="Arial"/>
          <w:sz w:val="18"/>
          <w:szCs w:val="18"/>
        </w:rPr>
        <w:t>,</w:t>
      </w:r>
      <w:r w:rsidR="00155BEA">
        <w:rPr>
          <w:rFonts w:ascii="Arial" w:hAnsi="Arial" w:cs="Arial"/>
          <w:sz w:val="18"/>
          <w:szCs w:val="18"/>
        </w:rPr>
        <w:t>394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155BEA">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28,636,445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F52C6D" w:rsidRPr="00F52C6D">
        <w:rPr>
          <w:rFonts w:ascii="Arial" w:hAnsi="Arial" w:cs="Arial"/>
          <w:sz w:val="18"/>
          <w:szCs w:val="18"/>
        </w:rPr>
        <w:t>primer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$ 550,146</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55BEA">
        <w:rPr>
          <w:rFonts w:ascii="Arial" w:hAnsi="Arial" w:cs="Arial"/>
          <w:sz w:val="18"/>
          <w:szCs w:val="18"/>
        </w:rPr>
        <w:t>primer</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E78A6">
        <w:rPr>
          <w:rFonts w:ascii="Arial" w:hAnsi="Arial" w:cs="Arial"/>
          <w:sz w:val="18"/>
          <w:szCs w:val="18"/>
        </w:rPr>
        <w:t>primer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E78A6">
        <w:rPr>
          <w:rFonts w:ascii="Arial" w:hAnsi="Arial" w:cs="Arial"/>
          <w:sz w:val="18"/>
          <w:szCs w:val="18"/>
        </w:rPr>
        <w:t>prime</w:t>
      </w:r>
      <w:r w:rsidR="00120F4C">
        <w:rPr>
          <w:rFonts w:ascii="Arial" w:hAnsi="Arial" w:cs="Arial"/>
          <w:sz w:val="18"/>
          <w:szCs w:val="18"/>
        </w:rPr>
        <w:t>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713</w:t>
      </w:r>
      <w:r>
        <w:rPr>
          <w:rFonts w:ascii="Arial" w:hAnsi="Arial" w:cs="Arial"/>
          <w:sz w:val="18"/>
          <w:szCs w:val="18"/>
        </w:rPr>
        <w:t>,</w:t>
      </w:r>
      <w:r w:rsidR="00120F4C">
        <w:rPr>
          <w:rFonts w:ascii="Arial" w:hAnsi="Arial" w:cs="Arial"/>
          <w:sz w:val="18"/>
          <w:szCs w:val="18"/>
        </w:rPr>
        <w:t>56</w:t>
      </w:r>
      <w:r w:rsidR="00FE75AC">
        <w:rPr>
          <w:rFonts w:ascii="Arial" w:hAnsi="Arial" w:cs="Arial"/>
          <w:sz w:val="18"/>
          <w:szCs w:val="18"/>
        </w:rPr>
        <w:t>3</w:t>
      </w:r>
      <w:r>
        <w:rPr>
          <w:rFonts w:ascii="Arial" w:hAnsi="Arial" w:cs="Arial"/>
          <w:sz w:val="18"/>
          <w:szCs w:val="18"/>
        </w:rPr>
        <w:t>,</w:t>
      </w:r>
      <w:r w:rsidR="00FE75AC">
        <w:rPr>
          <w:rFonts w:ascii="Arial" w:hAnsi="Arial" w:cs="Arial"/>
          <w:sz w:val="18"/>
          <w:szCs w:val="18"/>
        </w:rPr>
        <w:t>01</w:t>
      </w:r>
      <w:r w:rsidR="00120F4C">
        <w:rPr>
          <w:rFonts w:ascii="Arial" w:hAnsi="Arial" w:cs="Arial"/>
          <w:sz w:val="18"/>
          <w:szCs w:val="18"/>
        </w:rPr>
        <w:t>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FE75AC">
        <w:rPr>
          <w:rFonts w:ascii="Arial" w:hAnsi="Arial" w:cs="Arial"/>
          <w:sz w:val="18"/>
          <w:szCs w:val="18"/>
        </w:rPr>
        <w:t>119</w:t>
      </w:r>
      <w:r w:rsidRPr="00F619D6">
        <w:rPr>
          <w:rFonts w:ascii="Arial" w:hAnsi="Arial" w:cs="Arial"/>
          <w:sz w:val="18"/>
          <w:szCs w:val="18"/>
        </w:rPr>
        <w:t>,</w:t>
      </w:r>
      <w:r w:rsidR="00120F4C">
        <w:rPr>
          <w:rFonts w:ascii="Arial" w:hAnsi="Arial" w:cs="Arial"/>
          <w:sz w:val="18"/>
          <w:szCs w:val="18"/>
        </w:rPr>
        <w:t>0</w:t>
      </w:r>
      <w:r w:rsidR="00FE75AC">
        <w:rPr>
          <w:rFonts w:ascii="Arial" w:hAnsi="Arial" w:cs="Arial"/>
          <w:sz w:val="18"/>
          <w:szCs w:val="18"/>
        </w:rPr>
        <w:t>54</w:t>
      </w:r>
      <w:r w:rsidRPr="00F619D6">
        <w:rPr>
          <w:rFonts w:ascii="Arial" w:hAnsi="Arial" w:cs="Arial"/>
          <w:sz w:val="18"/>
          <w:szCs w:val="18"/>
        </w:rPr>
        <w:t>,</w:t>
      </w:r>
      <w:r w:rsidR="00120F4C">
        <w:rPr>
          <w:rFonts w:ascii="Arial" w:hAnsi="Arial" w:cs="Arial"/>
          <w:sz w:val="18"/>
          <w:szCs w:val="18"/>
        </w:rPr>
        <w:t>9</w:t>
      </w:r>
      <w:r w:rsidR="00FE75AC">
        <w:rPr>
          <w:rFonts w:ascii="Arial" w:hAnsi="Arial" w:cs="Arial"/>
          <w:sz w:val="18"/>
          <w:szCs w:val="18"/>
        </w:rPr>
        <w:t>17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$113</w:t>
      </w:r>
      <w:r w:rsidR="00B006FD">
        <w:rPr>
          <w:rFonts w:ascii="Arial" w:hAnsi="Arial" w:cs="Arial"/>
          <w:sz w:val="18"/>
          <w:szCs w:val="18"/>
        </w:rPr>
        <w:t>,</w:t>
      </w:r>
      <w:r>
        <w:rPr>
          <w:rFonts w:ascii="Arial" w:hAnsi="Arial" w:cs="Arial"/>
          <w:sz w:val="18"/>
          <w:szCs w:val="18"/>
        </w:rPr>
        <w:t>564</w:t>
      </w:r>
      <w:r w:rsidR="00B006FD">
        <w:rPr>
          <w:rFonts w:ascii="Arial" w:hAnsi="Arial" w:cs="Arial"/>
          <w:sz w:val="18"/>
          <w:szCs w:val="18"/>
        </w:rPr>
        <w:t>,</w:t>
      </w:r>
      <w:r>
        <w:rPr>
          <w:rFonts w:ascii="Arial" w:hAnsi="Arial" w:cs="Arial"/>
          <w:sz w:val="18"/>
          <w:szCs w:val="18"/>
        </w:rPr>
        <w:t>147</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E75AC">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FE75AC">
        <w:rPr>
          <w:rFonts w:ascii="Arial" w:hAnsi="Arial" w:cs="Arial"/>
          <w:sz w:val="18"/>
          <w:szCs w:val="18"/>
        </w:rPr>
        <w:t>019</w:t>
      </w:r>
      <w:r>
        <w:rPr>
          <w:rFonts w:ascii="Arial" w:hAnsi="Arial" w:cs="Arial"/>
          <w:sz w:val="18"/>
          <w:szCs w:val="18"/>
        </w:rPr>
        <w:t>,</w:t>
      </w:r>
      <w:r w:rsidR="00FE75AC">
        <w:rPr>
          <w:rFonts w:ascii="Arial" w:hAnsi="Arial" w:cs="Arial"/>
          <w:sz w:val="18"/>
          <w:szCs w:val="18"/>
        </w:rPr>
        <w:t>456</w:t>
      </w:r>
      <w:r>
        <w:rPr>
          <w:rFonts w:ascii="Arial" w:hAnsi="Arial" w:cs="Arial"/>
          <w:sz w:val="18"/>
          <w:szCs w:val="18"/>
        </w:rPr>
        <w:t>,</w:t>
      </w:r>
      <w:r w:rsidR="00FE75AC">
        <w:rPr>
          <w:rFonts w:ascii="Arial" w:hAnsi="Arial" w:cs="Arial"/>
          <w:sz w:val="18"/>
          <w:szCs w:val="18"/>
        </w:rPr>
        <w:t>658</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E75AC">
        <w:rPr>
          <w:rFonts w:ascii="Arial" w:hAnsi="Arial" w:cs="Arial"/>
          <w:sz w:val="18"/>
          <w:szCs w:val="18"/>
          <w:lang w:val="es-ES"/>
        </w:rPr>
        <w:t>prim</w:t>
      </w:r>
      <w:r w:rsidR="00297D52">
        <w:rPr>
          <w:rFonts w:ascii="Arial" w:hAnsi="Arial" w:cs="Arial"/>
          <w:sz w:val="18"/>
          <w:szCs w:val="18"/>
          <w:lang w:val="es-ES"/>
        </w:rPr>
        <w:t>e</w:t>
      </w:r>
      <w:r w:rsidR="00C735F9">
        <w:rPr>
          <w:rFonts w:ascii="Arial" w:hAnsi="Arial" w:cs="Arial"/>
          <w:sz w:val="18"/>
          <w:szCs w:val="18"/>
          <w:lang w:val="es-ES"/>
        </w:rPr>
        <w:t>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E75AC">
        <w:rPr>
          <w:rFonts w:ascii="Arial" w:hAnsi="Arial" w:cs="Arial"/>
          <w:sz w:val="18"/>
          <w:szCs w:val="18"/>
        </w:rPr>
        <w:t>5</w:t>
      </w:r>
      <w:r>
        <w:rPr>
          <w:rFonts w:ascii="Arial" w:hAnsi="Arial" w:cs="Arial"/>
          <w:sz w:val="18"/>
          <w:szCs w:val="18"/>
        </w:rPr>
        <w:t>,</w:t>
      </w:r>
      <w:r w:rsidR="00FE75AC">
        <w:rPr>
          <w:rFonts w:ascii="Arial" w:hAnsi="Arial" w:cs="Arial"/>
          <w:sz w:val="18"/>
          <w:szCs w:val="18"/>
        </w:rPr>
        <w:t>310</w:t>
      </w:r>
      <w:r>
        <w:rPr>
          <w:rFonts w:ascii="Arial" w:hAnsi="Arial" w:cs="Arial"/>
          <w:sz w:val="18"/>
          <w:szCs w:val="18"/>
        </w:rPr>
        <w:t>,</w:t>
      </w:r>
      <w:r w:rsidR="00FE75AC">
        <w:rPr>
          <w:rFonts w:ascii="Arial" w:hAnsi="Arial" w:cs="Arial"/>
          <w:sz w:val="18"/>
          <w:szCs w:val="18"/>
        </w:rPr>
        <w:t>225</w:t>
      </w:r>
      <w:r>
        <w:rPr>
          <w:rFonts w:ascii="Arial" w:hAnsi="Arial" w:cs="Arial"/>
          <w:sz w:val="18"/>
          <w:szCs w:val="18"/>
        </w:rPr>
        <w:t>,</w:t>
      </w:r>
      <w:r w:rsidR="00FE75AC">
        <w:rPr>
          <w:rFonts w:ascii="Arial" w:hAnsi="Arial" w:cs="Arial"/>
          <w:sz w:val="18"/>
          <w:szCs w:val="18"/>
        </w:rPr>
        <w:t>929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FE75AC">
        <w:rPr>
          <w:rFonts w:ascii="Arial" w:hAnsi="Arial" w:cs="Arial"/>
          <w:sz w:val="18"/>
          <w:szCs w:val="18"/>
        </w:rPr>
        <w:t>530</w:t>
      </w:r>
      <w:r>
        <w:rPr>
          <w:rFonts w:ascii="Arial" w:hAnsi="Arial" w:cs="Arial"/>
          <w:sz w:val="18"/>
          <w:szCs w:val="18"/>
        </w:rPr>
        <w:t>,</w:t>
      </w:r>
      <w:r w:rsidR="00FE75AC">
        <w:rPr>
          <w:rFonts w:ascii="Arial" w:hAnsi="Arial" w:cs="Arial"/>
          <w:sz w:val="18"/>
          <w:szCs w:val="18"/>
        </w:rPr>
        <w:t>190</w:t>
      </w:r>
      <w:r>
        <w:rPr>
          <w:rFonts w:ascii="Arial" w:hAnsi="Arial" w:cs="Arial"/>
          <w:sz w:val="18"/>
          <w:szCs w:val="18"/>
        </w:rPr>
        <w:t>,</w:t>
      </w:r>
      <w:r w:rsidR="00FE75AC">
        <w:rPr>
          <w:rFonts w:ascii="Arial" w:hAnsi="Arial" w:cs="Arial"/>
          <w:sz w:val="18"/>
          <w:szCs w:val="18"/>
        </w:rPr>
        <w:t>350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FE75AC">
        <w:rPr>
          <w:rFonts w:ascii="Arial" w:hAnsi="Arial" w:cs="Arial"/>
          <w:sz w:val="18"/>
          <w:szCs w:val="18"/>
        </w:rPr>
        <w:t>780</w:t>
      </w:r>
      <w:r>
        <w:rPr>
          <w:rFonts w:ascii="Arial" w:hAnsi="Arial" w:cs="Arial"/>
          <w:sz w:val="18"/>
          <w:szCs w:val="18"/>
        </w:rPr>
        <w:t>,</w:t>
      </w:r>
      <w:r w:rsidR="00FE75AC">
        <w:rPr>
          <w:rFonts w:ascii="Arial" w:hAnsi="Arial" w:cs="Arial"/>
          <w:sz w:val="18"/>
          <w:szCs w:val="18"/>
        </w:rPr>
        <w:t>035</w:t>
      </w:r>
      <w:r>
        <w:rPr>
          <w:rFonts w:ascii="Arial" w:hAnsi="Arial" w:cs="Arial"/>
          <w:sz w:val="18"/>
          <w:szCs w:val="18"/>
        </w:rPr>
        <w:t>,</w:t>
      </w:r>
      <w:r w:rsidR="00FE75AC">
        <w:rPr>
          <w:rFonts w:ascii="Arial" w:hAnsi="Arial" w:cs="Arial"/>
          <w:sz w:val="18"/>
          <w:szCs w:val="18"/>
        </w:rPr>
        <w:t>579</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FE75AC">
        <w:rPr>
          <w:rFonts w:ascii="Arial" w:hAnsi="Arial" w:cs="Arial"/>
          <w:sz w:val="18"/>
          <w:szCs w:val="18"/>
        </w:rPr>
        <w:t>marzo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FE75AC">
        <w:rPr>
          <w:rFonts w:ascii="Arial" w:hAnsi="Arial" w:cs="Arial"/>
          <w:sz w:val="18"/>
          <w:szCs w:val="18"/>
        </w:rPr>
        <w:t>175</w:t>
      </w:r>
      <w:r>
        <w:rPr>
          <w:rFonts w:ascii="Arial" w:hAnsi="Arial" w:cs="Arial"/>
          <w:sz w:val="18"/>
          <w:szCs w:val="18"/>
        </w:rPr>
        <w:t>,</w:t>
      </w:r>
      <w:r w:rsidR="00FE75AC">
        <w:rPr>
          <w:rFonts w:ascii="Arial" w:hAnsi="Arial" w:cs="Arial"/>
          <w:sz w:val="18"/>
          <w:szCs w:val="18"/>
        </w:rPr>
        <w:t>953</w:t>
      </w:r>
      <w:r>
        <w:rPr>
          <w:rFonts w:ascii="Arial" w:hAnsi="Arial" w:cs="Arial"/>
          <w:sz w:val="18"/>
          <w:szCs w:val="18"/>
        </w:rPr>
        <w:t>,</w:t>
      </w:r>
      <w:r w:rsidR="00FE75AC">
        <w:rPr>
          <w:rFonts w:ascii="Arial" w:hAnsi="Arial" w:cs="Arial"/>
          <w:sz w:val="18"/>
          <w:szCs w:val="18"/>
        </w:rPr>
        <w:t>127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0872D9">
        <w:rPr>
          <w:rFonts w:ascii="Arial" w:hAnsi="Arial" w:cs="Arial"/>
          <w:sz w:val="18"/>
          <w:szCs w:val="18"/>
        </w:rPr>
        <w:t>166</w:t>
      </w:r>
      <w:r w:rsidR="00E004F0">
        <w:rPr>
          <w:rFonts w:ascii="Arial" w:hAnsi="Arial" w:cs="Arial"/>
          <w:sz w:val="18"/>
          <w:szCs w:val="18"/>
        </w:rPr>
        <w:t>,</w:t>
      </w:r>
      <w:r w:rsidR="000872D9">
        <w:rPr>
          <w:rFonts w:ascii="Arial" w:hAnsi="Arial" w:cs="Arial"/>
          <w:sz w:val="18"/>
          <w:szCs w:val="18"/>
        </w:rPr>
        <w:t>108</w:t>
      </w:r>
      <w:r>
        <w:rPr>
          <w:rFonts w:ascii="Arial" w:hAnsi="Arial" w:cs="Arial"/>
          <w:sz w:val="18"/>
          <w:szCs w:val="18"/>
        </w:rPr>
        <w:t>,</w:t>
      </w:r>
      <w:r w:rsidR="000872D9">
        <w:rPr>
          <w:rFonts w:ascii="Arial" w:hAnsi="Arial" w:cs="Arial"/>
          <w:sz w:val="18"/>
          <w:szCs w:val="18"/>
        </w:rPr>
        <w:t>899</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0872D9">
        <w:rPr>
          <w:rFonts w:ascii="Arial" w:hAnsi="Arial" w:cs="Arial"/>
          <w:sz w:val="18"/>
          <w:szCs w:val="18"/>
        </w:rPr>
        <w:t>6</w:t>
      </w:r>
      <w:r>
        <w:rPr>
          <w:rFonts w:ascii="Arial" w:hAnsi="Arial" w:cs="Arial"/>
          <w:sz w:val="18"/>
          <w:szCs w:val="18"/>
        </w:rPr>
        <w:t>,</w:t>
      </w:r>
      <w:r w:rsidR="000872D9">
        <w:rPr>
          <w:rFonts w:ascii="Arial" w:hAnsi="Arial" w:cs="Arial"/>
          <w:sz w:val="18"/>
          <w:szCs w:val="18"/>
        </w:rPr>
        <w:t>992</w:t>
      </w:r>
      <w:r>
        <w:rPr>
          <w:rFonts w:ascii="Arial" w:hAnsi="Arial" w:cs="Arial"/>
          <w:sz w:val="18"/>
          <w:szCs w:val="18"/>
        </w:rPr>
        <w:t>,</w:t>
      </w:r>
      <w:r w:rsidR="000872D9">
        <w:rPr>
          <w:rFonts w:ascii="Arial" w:hAnsi="Arial" w:cs="Arial"/>
          <w:sz w:val="18"/>
          <w:szCs w:val="18"/>
        </w:rPr>
        <w:t>143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0872D9">
        <w:rPr>
          <w:rFonts w:ascii="Arial" w:hAnsi="Arial" w:cs="Arial"/>
          <w:sz w:val="18"/>
          <w:szCs w:val="18"/>
        </w:rPr>
        <w:t>065</w:t>
      </w:r>
      <w:r>
        <w:rPr>
          <w:rFonts w:ascii="Arial" w:hAnsi="Arial" w:cs="Arial"/>
          <w:sz w:val="18"/>
          <w:szCs w:val="18"/>
        </w:rPr>
        <w:t>,</w:t>
      </w:r>
      <w:r w:rsidR="000872D9">
        <w:rPr>
          <w:rFonts w:ascii="Arial" w:hAnsi="Arial" w:cs="Arial"/>
          <w:sz w:val="18"/>
          <w:szCs w:val="18"/>
        </w:rPr>
        <w:t>960</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872D9">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872D9">
        <w:rPr>
          <w:rFonts w:ascii="Arial" w:hAnsi="Arial" w:cs="Arial"/>
          <w:sz w:val="18"/>
          <w:szCs w:val="18"/>
        </w:rPr>
        <w:t>118</w:t>
      </w:r>
      <w:r>
        <w:rPr>
          <w:rFonts w:ascii="Arial" w:hAnsi="Arial" w:cs="Arial"/>
          <w:sz w:val="18"/>
          <w:szCs w:val="18"/>
        </w:rPr>
        <w:t>,</w:t>
      </w:r>
      <w:r w:rsidR="000872D9">
        <w:rPr>
          <w:rFonts w:ascii="Arial" w:hAnsi="Arial" w:cs="Arial"/>
          <w:sz w:val="18"/>
          <w:szCs w:val="18"/>
        </w:rPr>
        <w:t>499</w:t>
      </w:r>
      <w:r>
        <w:rPr>
          <w:rFonts w:ascii="Arial" w:hAnsi="Arial" w:cs="Arial"/>
          <w:sz w:val="18"/>
          <w:szCs w:val="18"/>
        </w:rPr>
        <w:t>,</w:t>
      </w:r>
      <w:r w:rsidR="000872D9">
        <w:rPr>
          <w:rFonts w:ascii="Arial" w:hAnsi="Arial" w:cs="Arial"/>
          <w:sz w:val="18"/>
          <w:szCs w:val="18"/>
        </w:rPr>
        <w:t>326</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C55BBF">
        <w:rPr>
          <w:rFonts w:ascii="Arial" w:hAnsi="Arial" w:cs="Arial"/>
          <w:sz w:val="18"/>
          <w:szCs w:val="18"/>
        </w:rPr>
        <w:t>24</w:t>
      </w:r>
      <w:r w:rsidRPr="00502DDD">
        <w:rPr>
          <w:rFonts w:ascii="Arial" w:hAnsi="Arial" w:cs="Arial"/>
          <w:sz w:val="18"/>
          <w:szCs w:val="18"/>
        </w:rPr>
        <w:t>,</w:t>
      </w:r>
      <w:r w:rsidR="00C55BBF">
        <w:rPr>
          <w:rFonts w:ascii="Arial" w:hAnsi="Arial" w:cs="Arial"/>
          <w:sz w:val="18"/>
          <w:szCs w:val="18"/>
        </w:rPr>
        <w:t>681</w:t>
      </w:r>
      <w:r w:rsidRPr="00502DDD">
        <w:rPr>
          <w:rFonts w:ascii="Arial" w:hAnsi="Arial" w:cs="Arial"/>
          <w:sz w:val="18"/>
          <w:szCs w:val="18"/>
        </w:rPr>
        <w:t>,</w:t>
      </w:r>
      <w:r w:rsidR="00C55BBF">
        <w:rPr>
          <w:rFonts w:ascii="Arial" w:hAnsi="Arial" w:cs="Arial"/>
          <w:sz w:val="18"/>
          <w:szCs w:val="18"/>
        </w:rPr>
        <w:t>631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C55BBF">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C55BBF">
        <w:rPr>
          <w:rFonts w:ascii="Arial" w:hAnsi="Arial" w:cs="Arial"/>
          <w:sz w:val="18"/>
          <w:szCs w:val="18"/>
        </w:rPr>
        <w:t>30</w:t>
      </w:r>
      <w:r>
        <w:rPr>
          <w:rFonts w:ascii="Arial" w:hAnsi="Arial" w:cs="Arial"/>
          <w:sz w:val="18"/>
          <w:szCs w:val="18"/>
        </w:rPr>
        <w:t>,</w:t>
      </w:r>
      <w:r w:rsidR="00C55BBF">
        <w:rPr>
          <w:rFonts w:ascii="Arial" w:hAnsi="Arial" w:cs="Arial"/>
          <w:sz w:val="18"/>
          <w:szCs w:val="18"/>
        </w:rPr>
        <w:t>030</w:t>
      </w:r>
      <w:r>
        <w:rPr>
          <w:rFonts w:ascii="Arial" w:hAnsi="Arial" w:cs="Arial"/>
          <w:sz w:val="18"/>
          <w:szCs w:val="18"/>
        </w:rPr>
        <w:t>,</w:t>
      </w:r>
      <w:r w:rsidR="00C55BBF">
        <w:rPr>
          <w:rFonts w:ascii="Arial" w:hAnsi="Arial" w:cs="Arial"/>
          <w:sz w:val="18"/>
          <w:szCs w:val="18"/>
        </w:rPr>
        <w:t>415</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C55BBF">
        <w:rPr>
          <w:rFonts w:ascii="Arial" w:hAnsi="Arial" w:cs="Arial"/>
          <w:sz w:val="18"/>
          <w:szCs w:val="18"/>
        </w:rPr>
        <w:t>4</w:t>
      </w:r>
      <w:r>
        <w:rPr>
          <w:rFonts w:ascii="Arial" w:hAnsi="Arial" w:cs="Arial"/>
          <w:sz w:val="18"/>
          <w:szCs w:val="18"/>
        </w:rPr>
        <w:t>,</w:t>
      </w:r>
      <w:r w:rsidR="00C55BBF">
        <w:rPr>
          <w:rFonts w:ascii="Arial" w:hAnsi="Arial" w:cs="Arial"/>
          <w:sz w:val="18"/>
          <w:szCs w:val="18"/>
        </w:rPr>
        <w:t>960</w:t>
      </w:r>
      <w:r>
        <w:rPr>
          <w:rFonts w:ascii="Arial" w:hAnsi="Arial" w:cs="Arial"/>
          <w:sz w:val="18"/>
          <w:szCs w:val="18"/>
        </w:rPr>
        <w:t>,</w:t>
      </w:r>
      <w:r w:rsidR="005D296A">
        <w:rPr>
          <w:rFonts w:ascii="Arial" w:hAnsi="Arial" w:cs="Arial"/>
          <w:sz w:val="18"/>
          <w:szCs w:val="18"/>
        </w:rPr>
        <w:t>6</w:t>
      </w:r>
      <w:r w:rsidR="006B4727">
        <w:rPr>
          <w:rFonts w:ascii="Arial" w:hAnsi="Arial" w:cs="Arial"/>
          <w:sz w:val="18"/>
          <w:szCs w:val="18"/>
        </w:rPr>
        <w:t>90</w:t>
      </w:r>
      <w:r>
        <w:rPr>
          <w:rFonts w:ascii="Arial" w:hAnsi="Arial" w:cs="Arial"/>
          <w:sz w:val="18"/>
          <w:szCs w:val="18"/>
        </w:rPr>
        <w:t>,</w:t>
      </w:r>
      <w:r w:rsidR="005D296A">
        <w:rPr>
          <w:rFonts w:ascii="Arial" w:hAnsi="Arial" w:cs="Arial"/>
          <w:sz w:val="18"/>
          <w:szCs w:val="18"/>
        </w:rPr>
        <w:t>227</w:t>
      </w:r>
      <w:r>
        <w:rPr>
          <w:rFonts w:ascii="Arial" w:hAnsi="Arial" w:cs="Arial"/>
          <w:sz w:val="18"/>
          <w:szCs w:val="18"/>
        </w:rPr>
        <w:t xml:space="preserve"> al mes de </w:t>
      </w:r>
      <w:r w:rsidR="005D296A">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5D296A">
        <w:rPr>
          <w:rFonts w:ascii="Arial" w:hAnsi="Arial" w:cs="Arial"/>
          <w:sz w:val="18"/>
          <w:szCs w:val="18"/>
        </w:rPr>
        <w:t>2</w:t>
      </w:r>
      <w:r>
        <w:rPr>
          <w:rFonts w:ascii="Arial" w:hAnsi="Arial" w:cs="Arial"/>
          <w:sz w:val="18"/>
          <w:szCs w:val="18"/>
        </w:rPr>
        <w:t>,</w:t>
      </w:r>
      <w:r w:rsidR="005D296A">
        <w:rPr>
          <w:rFonts w:ascii="Arial" w:hAnsi="Arial" w:cs="Arial"/>
          <w:sz w:val="18"/>
          <w:szCs w:val="18"/>
        </w:rPr>
        <w:t>469</w:t>
      </w:r>
      <w:r>
        <w:rPr>
          <w:rFonts w:ascii="Arial" w:hAnsi="Arial" w:cs="Arial"/>
          <w:sz w:val="18"/>
          <w:szCs w:val="18"/>
        </w:rPr>
        <w:t>,</w:t>
      </w:r>
      <w:r w:rsidR="005D296A">
        <w:rPr>
          <w:rFonts w:ascii="Arial" w:hAnsi="Arial" w:cs="Arial"/>
          <w:sz w:val="18"/>
          <w:szCs w:val="18"/>
        </w:rPr>
        <w:t>567</w:t>
      </w:r>
      <w:r>
        <w:rPr>
          <w:rFonts w:ascii="Arial" w:hAnsi="Arial" w:cs="Arial"/>
          <w:sz w:val="18"/>
          <w:szCs w:val="18"/>
        </w:rPr>
        <w:t>,</w:t>
      </w:r>
      <w:r w:rsidR="005D296A">
        <w:rPr>
          <w:rFonts w:ascii="Arial" w:hAnsi="Arial" w:cs="Arial"/>
          <w:sz w:val="18"/>
          <w:szCs w:val="18"/>
        </w:rPr>
        <w:t>717</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5D296A">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5D296A">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676,814,982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33.9</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519,269,766</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32,573,181</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236,141,244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80D6B">
              <w:rPr>
                <w:rFonts w:ascii="Arial" w:eastAsia="Times New Roman" w:hAnsi="Arial" w:cs="Arial"/>
                <w:color w:val="000000"/>
                <w:sz w:val="18"/>
                <w:szCs w:val="18"/>
                <w:lang w:eastAsia="es-MX"/>
              </w:rPr>
              <w:t>1.8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226,712,169</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80D6B">
              <w:rPr>
                <w:rFonts w:ascii="Arial" w:eastAsia="Times New Roman" w:hAnsi="Arial" w:cs="Arial"/>
                <w:color w:val="000000"/>
                <w:sz w:val="18"/>
                <w:szCs w:val="18"/>
                <w:lang w:eastAsia="es-MX"/>
              </w:rPr>
              <w:t>1.3</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5D296A"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79,198,</w:t>
            </w:r>
            <w:r w:rsidR="00080D6B">
              <w:rPr>
                <w:rFonts w:ascii="Arial" w:eastAsia="Times New Roman" w:hAnsi="Arial" w:cs="Arial"/>
                <w:color w:val="000000"/>
                <w:sz w:val="18"/>
                <w:szCs w:val="18"/>
                <w:lang w:eastAsia="es-MX"/>
              </w:rPr>
              <w:t>380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7D316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080D6B">
              <w:rPr>
                <w:rFonts w:ascii="Arial" w:eastAsia="Times New Roman" w:hAnsi="Arial" w:cs="Arial"/>
                <w:color w:val="000000"/>
                <w:sz w:val="18"/>
                <w:szCs w:val="18"/>
                <w:lang w:eastAsia="es-MX"/>
              </w:rPr>
              <w:t>.0</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12,436,738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080D6B">
              <w:rPr>
                <w:rFonts w:ascii="Arial" w:eastAsia="Times New Roman" w:hAnsi="Arial" w:cs="Arial"/>
                <w:color w:val="000000"/>
                <w:sz w:val="18"/>
                <w:szCs w:val="18"/>
                <w:lang w:eastAsia="es-MX"/>
              </w:rPr>
              <w:t>.6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13,357,964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5F5707">
              <w:rPr>
                <w:rFonts w:ascii="Arial" w:eastAsia="Times New Roman" w:hAnsi="Arial" w:cs="Arial"/>
                <w:color w:val="000000"/>
                <w:sz w:val="18"/>
                <w:szCs w:val="18"/>
                <w:lang w:eastAsia="es-MX"/>
              </w:rPr>
              <w:t>.7</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48,993,477</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5F5707">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080D6B"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152,618,277</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7D316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5F5707">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5F5707">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5F5707">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w:t>
            </w:r>
            <w:r w:rsidR="005F5707">
              <w:rPr>
                <w:rFonts w:ascii="Calibri" w:eastAsia="Times New Roman" w:hAnsi="Calibri" w:cs="Calibri"/>
                <w:color w:val="000000"/>
                <w:lang w:eastAsia="es-MX"/>
              </w:rPr>
              <w:t>98</w:t>
            </w:r>
            <w:r w:rsidRPr="00AE0E84">
              <w:rPr>
                <w:rFonts w:ascii="Calibri" w:eastAsia="Times New Roman" w:hAnsi="Calibri" w:cs="Calibri"/>
                <w:color w:val="000000"/>
                <w:lang w:eastAsia="es-MX"/>
              </w:rPr>
              <w:t>,</w:t>
            </w:r>
            <w:r w:rsidR="005F5707">
              <w:rPr>
                <w:rFonts w:ascii="Calibri" w:eastAsia="Times New Roman" w:hAnsi="Calibri" w:cs="Calibri"/>
                <w:color w:val="000000"/>
                <w:lang w:eastAsia="es-MX"/>
              </w:rPr>
              <w:t>116</w:t>
            </w:r>
            <w:r w:rsidRPr="00AE0E84">
              <w:rPr>
                <w:rFonts w:ascii="Calibri" w:eastAsia="Times New Roman" w:hAnsi="Calibri" w:cs="Calibri"/>
                <w:color w:val="000000"/>
                <w:lang w:eastAsia="es-MX"/>
              </w:rPr>
              <w:t>,</w:t>
            </w:r>
            <w:r w:rsidR="005F5707">
              <w:rPr>
                <w:rFonts w:ascii="Calibri" w:eastAsia="Times New Roman" w:hAnsi="Calibri" w:cs="Calibri"/>
                <w:color w:val="000000"/>
                <w:lang w:eastAsia="es-MX"/>
              </w:rPr>
              <w:t>178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340E0">
        <w:rPr>
          <w:rFonts w:ascii="Arial" w:hAnsi="Arial" w:cs="Arial"/>
          <w:sz w:val="18"/>
          <w:szCs w:val="18"/>
        </w:rPr>
        <w:t>marzo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5F5707">
        <w:rPr>
          <w:rFonts w:ascii="Arial" w:hAnsi="Arial" w:cs="Arial"/>
          <w:sz w:val="18"/>
          <w:szCs w:val="18"/>
        </w:rPr>
        <w:t>488</w:t>
      </w:r>
      <w:r>
        <w:rPr>
          <w:rFonts w:ascii="Arial" w:hAnsi="Arial" w:cs="Arial"/>
          <w:sz w:val="18"/>
          <w:szCs w:val="18"/>
        </w:rPr>
        <w:t>,</w:t>
      </w:r>
      <w:r w:rsidR="005F5707">
        <w:rPr>
          <w:rFonts w:ascii="Arial" w:hAnsi="Arial" w:cs="Arial"/>
          <w:sz w:val="18"/>
          <w:szCs w:val="18"/>
        </w:rPr>
        <w:t>956</w:t>
      </w:r>
      <w:r w:rsidR="009F5E29">
        <w:rPr>
          <w:rFonts w:ascii="Arial" w:hAnsi="Arial" w:cs="Arial"/>
          <w:sz w:val="18"/>
          <w:szCs w:val="18"/>
        </w:rPr>
        <w:t>,</w:t>
      </w:r>
      <w:r w:rsidR="005F5707">
        <w:rPr>
          <w:rFonts w:ascii="Arial" w:hAnsi="Arial" w:cs="Arial"/>
          <w:sz w:val="18"/>
          <w:szCs w:val="18"/>
        </w:rPr>
        <w:t>189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5F5707">
        <w:rPr>
          <w:rFonts w:ascii="Arial" w:hAnsi="Arial" w:cs="Arial"/>
          <w:sz w:val="18"/>
          <w:szCs w:val="18"/>
        </w:rPr>
        <w:t>primer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5F5707">
        <w:rPr>
          <w:rFonts w:ascii="Arial" w:hAnsi="Arial" w:cs="Arial"/>
          <w:sz w:val="18"/>
          <w:szCs w:val="18"/>
        </w:rPr>
        <w:t>marzo</w:t>
      </w:r>
      <w:r w:rsidR="00134F21">
        <w:rPr>
          <w:rFonts w:ascii="Arial" w:hAnsi="Arial" w:cs="Arial"/>
          <w:sz w:val="18"/>
          <w:szCs w:val="18"/>
        </w:rPr>
        <w:t xml:space="preserve"> por este concepto un monto de $ </w:t>
      </w:r>
      <w:r w:rsidR="001A78A4">
        <w:rPr>
          <w:rFonts w:ascii="Arial" w:hAnsi="Arial" w:cs="Arial"/>
          <w:sz w:val="18"/>
          <w:szCs w:val="18"/>
        </w:rPr>
        <w:t>5</w:t>
      </w:r>
      <w:r w:rsidR="005F5707">
        <w:rPr>
          <w:rFonts w:ascii="Arial" w:hAnsi="Arial" w:cs="Arial"/>
          <w:sz w:val="18"/>
          <w:szCs w:val="18"/>
        </w:rPr>
        <w:t>71</w:t>
      </w:r>
      <w:r w:rsidR="00134F21">
        <w:rPr>
          <w:rFonts w:ascii="Arial" w:hAnsi="Arial" w:cs="Arial"/>
          <w:sz w:val="18"/>
          <w:szCs w:val="18"/>
        </w:rPr>
        <w:t>,</w:t>
      </w:r>
      <w:r w:rsidR="005F5707">
        <w:rPr>
          <w:rFonts w:ascii="Arial" w:hAnsi="Arial" w:cs="Arial"/>
          <w:sz w:val="18"/>
          <w:szCs w:val="18"/>
        </w:rPr>
        <w:t>545</w:t>
      </w:r>
      <w:r w:rsidR="00134F21">
        <w:rPr>
          <w:rFonts w:ascii="Arial" w:hAnsi="Arial" w:cs="Arial"/>
          <w:sz w:val="18"/>
          <w:szCs w:val="18"/>
        </w:rPr>
        <w:t>,</w:t>
      </w:r>
      <w:r w:rsidR="005F5707">
        <w:rPr>
          <w:rFonts w:ascii="Arial" w:hAnsi="Arial" w:cs="Arial"/>
          <w:sz w:val="18"/>
          <w:szCs w:val="18"/>
        </w:rPr>
        <w:t>811</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1A78A4">
        <w:rPr>
          <w:rFonts w:ascii="Arial" w:hAnsi="Arial" w:cs="Arial"/>
          <w:sz w:val="18"/>
          <w:szCs w:val="18"/>
        </w:rPr>
        <w:t>1</w:t>
      </w:r>
      <w:r w:rsidR="005F5707">
        <w:rPr>
          <w:rFonts w:ascii="Arial" w:hAnsi="Arial" w:cs="Arial"/>
          <w:sz w:val="18"/>
          <w:szCs w:val="18"/>
        </w:rPr>
        <w:t>7</w:t>
      </w:r>
      <w:r>
        <w:rPr>
          <w:rFonts w:ascii="Arial" w:hAnsi="Arial" w:cs="Arial"/>
          <w:sz w:val="18"/>
          <w:szCs w:val="18"/>
        </w:rPr>
        <w:t>,</w:t>
      </w:r>
      <w:r w:rsidR="005F5707">
        <w:rPr>
          <w:rFonts w:ascii="Arial" w:hAnsi="Arial" w:cs="Arial"/>
          <w:sz w:val="18"/>
          <w:szCs w:val="18"/>
        </w:rPr>
        <w:t>798</w:t>
      </w:r>
      <w:r>
        <w:rPr>
          <w:rFonts w:ascii="Arial" w:hAnsi="Arial" w:cs="Arial"/>
          <w:sz w:val="18"/>
          <w:szCs w:val="18"/>
        </w:rPr>
        <w:t>,</w:t>
      </w:r>
      <w:r w:rsidR="005F5707">
        <w:rPr>
          <w:rFonts w:ascii="Arial" w:hAnsi="Arial" w:cs="Arial"/>
          <w:sz w:val="18"/>
          <w:szCs w:val="18"/>
        </w:rPr>
        <w:t>591</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5F570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5F5707">
        <w:rPr>
          <w:rFonts w:ascii="Arial" w:hAnsi="Arial" w:cs="Arial"/>
          <w:sz w:val="18"/>
          <w:szCs w:val="18"/>
        </w:rPr>
        <w:t>2</w:t>
      </w:r>
      <w:r w:rsidR="001A78A4">
        <w:rPr>
          <w:rFonts w:ascii="Arial" w:hAnsi="Arial" w:cs="Arial"/>
          <w:sz w:val="18"/>
          <w:szCs w:val="18"/>
        </w:rPr>
        <w:t>7</w:t>
      </w:r>
      <w:r w:rsidR="00BA3B1D">
        <w:rPr>
          <w:rFonts w:ascii="Arial" w:hAnsi="Arial" w:cs="Arial"/>
          <w:sz w:val="18"/>
          <w:szCs w:val="18"/>
        </w:rPr>
        <w:t>,</w:t>
      </w:r>
      <w:r w:rsidR="005F5707">
        <w:rPr>
          <w:rFonts w:ascii="Arial" w:hAnsi="Arial" w:cs="Arial"/>
          <w:sz w:val="18"/>
          <w:szCs w:val="18"/>
        </w:rPr>
        <w:t>320</w:t>
      </w:r>
      <w:r w:rsidR="00BA3B1D">
        <w:rPr>
          <w:rFonts w:ascii="Arial" w:hAnsi="Arial" w:cs="Arial"/>
          <w:sz w:val="18"/>
          <w:szCs w:val="18"/>
        </w:rPr>
        <w:t>,</w:t>
      </w:r>
      <w:r w:rsidR="005F5707">
        <w:rPr>
          <w:rFonts w:ascii="Arial" w:hAnsi="Arial" w:cs="Arial"/>
          <w:sz w:val="18"/>
          <w:szCs w:val="18"/>
        </w:rPr>
        <w:t>708</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5F570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5F5707">
        <w:rPr>
          <w:rFonts w:ascii="Arial" w:hAnsi="Arial" w:cs="Arial"/>
          <w:sz w:val="18"/>
          <w:szCs w:val="18"/>
        </w:rPr>
        <w:t>2</w:t>
      </w:r>
      <w:r w:rsidR="001A78A4">
        <w:rPr>
          <w:rFonts w:ascii="Arial" w:hAnsi="Arial" w:cs="Arial"/>
          <w:sz w:val="18"/>
          <w:szCs w:val="18"/>
        </w:rPr>
        <w:t>,</w:t>
      </w:r>
      <w:r w:rsidR="005F5707">
        <w:rPr>
          <w:rFonts w:ascii="Arial" w:hAnsi="Arial" w:cs="Arial"/>
          <w:sz w:val="18"/>
          <w:szCs w:val="18"/>
        </w:rPr>
        <w:t>725</w:t>
      </w:r>
      <w:r>
        <w:rPr>
          <w:rFonts w:ascii="Arial" w:hAnsi="Arial" w:cs="Arial"/>
          <w:sz w:val="18"/>
          <w:szCs w:val="18"/>
        </w:rPr>
        <w:t>,</w:t>
      </w:r>
      <w:r w:rsidR="005F5707">
        <w:rPr>
          <w:rFonts w:ascii="Arial" w:hAnsi="Arial" w:cs="Arial"/>
          <w:sz w:val="18"/>
          <w:szCs w:val="18"/>
        </w:rPr>
        <w:t>712</w:t>
      </w:r>
      <w:r>
        <w:rPr>
          <w:rFonts w:ascii="Arial" w:hAnsi="Arial" w:cs="Arial"/>
          <w:sz w:val="18"/>
          <w:szCs w:val="18"/>
        </w:rPr>
        <w:t>,</w:t>
      </w:r>
      <w:r w:rsidR="001A78A4">
        <w:rPr>
          <w:rFonts w:ascii="Arial" w:hAnsi="Arial" w:cs="Arial"/>
          <w:sz w:val="18"/>
          <w:szCs w:val="18"/>
        </w:rPr>
        <w:t>9</w:t>
      </w:r>
      <w:r w:rsidR="005F5707">
        <w:rPr>
          <w:rFonts w:ascii="Arial" w:hAnsi="Arial" w:cs="Arial"/>
          <w:sz w:val="18"/>
          <w:szCs w:val="18"/>
        </w:rPr>
        <w:t>9</w:t>
      </w:r>
      <w:r w:rsidR="001A78A4">
        <w:rPr>
          <w:rFonts w:ascii="Arial" w:hAnsi="Arial" w:cs="Arial"/>
          <w:sz w:val="18"/>
          <w:szCs w:val="18"/>
        </w:rPr>
        <w:t>1</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50</w:t>
      </w:r>
      <w:r>
        <w:rPr>
          <w:rFonts w:ascii="Arial" w:hAnsi="Arial" w:cs="Arial"/>
          <w:sz w:val="18"/>
          <w:szCs w:val="18"/>
        </w:rPr>
        <w:t xml:space="preserve">% y el sector salud con un </w:t>
      </w:r>
      <w:r w:rsidR="00E514F6">
        <w:rPr>
          <w:rFonts w:ascii="Arial" w:hAnsi="Arial" w:cs="Arial"/>
          <w:sz w:val="18"/>
          <w:szCs w:val="18"/>
        </w:rPr>
        <w:t>43</w:t>
      </w:r>
      <w:r>
        <w:rPr>
          <w:rFonts w:ascii="Arial" w:hAnsi="Arial" w:cs="Arial"/>
          <w:sz w:val="18"/>
          <w:szCs w:val="18"/>
        </w:rPr>
        <w:t xml:space="preserve">% y el restante </w:t>
      </w:r>
      <w:r w:rsidR="00CB72A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E514F6">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E514F6">
        <w:rPr>
          <w:rFonts w:ascii="Arial" w:hAnsi="Arial" w:cs="Arial"/>
          <w:sz w:val="18"/>
          <w:szCs w:val="18"/>
        </w:rPr>
        <w:t>780</w:t>
      </w:r>
      <w:r>
        <w:rPr>
          <w:rFonts w:ascii="Arial" w:hAnsi="Arial" w:cs="Arial"/>
          <w:sz w:val="18"/>
          <w:szCs w:val="18"/>
        </w:rPr>
        <w:t>,</w:t>
      </w:r>
      <w:r w:rsidR="00E514F6">
        <w:rPr>
          <w:rFonts w:ascii="Arial" w:hAnsi="Arial" w:cs="Arial"/>
          <w:sz w:val="18"/>
          <w:szCs w:val="18"/>
        </w:rPr>
        <w:t>035</w:t>
      </w:r>
      <w:r>
        <w:rPr>
          <w:rFonts w:ascii="Arial" w:hAnsi="Arial" w:cs="Arial"/>
          <w:sz w:val="18"/>
          <w:szCs w:val="18"/>
        </w:rPr>
        <w:t>,</w:t>
      </w:r>
      <w:r w:rsidR="00E514F6">
        <w:rPr>
          <w:rFonts w:ascii="Arial" w:hAnsi="Arial" w:cs="Arial"/>
          <w:sz w:val="18"/>
          <w:szCs w:val="18"/>
        </w:rPr>
        <w:t>579</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E514F6">
        <w:rPr>
          <w:rFonts w:ascii="Arial" w:hAnsi="Arial" w:cs="Arial"/>
          <w:sz w:val="18"/>
          <w:szCs w:val="18"/>
        </w:rPr>
        <w:t>prim</w:t>
      </w:r>
      <w:r w:rsidR="001A78A4">
        <w:rPr>
          <w:rFonts w:ascii="Arial" w:hAnsi="Arial" w:cs="Arial"/>
          <w:sz w:val="18"/>
          <w:szCs w:val="18"/>
        </w:rPr>
        <w:t>er</w:t>
      </w:r>
      <w:r>
        <w:rPr>
          <w:rFonts w:ascii="Arial" w:hAnsi="Arial" w:cs="Arial"/>
          <w:sz w:val="18"/>
          <w:szCs w:val="18"/>
        </w:rPr>
        <w:t xml:space="preserve"> ajuste trimestral. Los cuales al </w:t>
      </w:r>
      <w:r w:rsidRPr="00DE62C8">
        <w:rPr>
          <w:rFonts w:ascii="Arial" w:hAnsi="Arial" w:cs="Arial"/>
          <w:sz w:val="18"/>
          <w:szCs w:val="18"/>
        </w:rPr>
        <w:t>3</w:t>
      </w:r>
      <w:r w:rsidR="00E514F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E514F6">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E514F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117011">
        <w:rPr>
          <w:rFonts w:ascii="Arial" w:hAnsi="Arial" w:cs="Arial"/>
          <w:sz w:val="18"/>
          <w:szCs w:val="18"/>
        </w:rPr>
        <w:t>819</w:t>
      </w:r>
      <w:r>
        <w:rPr>
          <w:rFonts w:ascii="Arial" w:eastAsia="Times New Roman" w:hAnsi="Arial" w:cs="Arial"/>
          <w:bCs/>
          <w:sz w:val="18"/>
          <w:szCs w:val="18"/>
          <w:lang w:eastAsia="es-MX"/>
        </w:rPr>
        <w:t>,</w:t>
      </w:r>
      <w:r w:rsidR="00117011">
        <w:rPr>
          <w:rFonts w:ascii="Arial" w:eastAsia="Times New Roman" w:hAnsi="Arial" w:cs="Arial"/>
          <w:bCs/>
          <w:sz w:val="18"/>
          <w:szCs w:val="18"/>
          <w:lang w:eastAsia="es-MX"/>
        </w:rPr>
        <w:t>780</w:t>
      </w:r>
      <w:r>
        <w:rPr>
          <w:rFonts w:ascii="Arial" w:eastAsia="Times New Roman" w:hAnsi="Arial" w:cs="Arial"/>
          <w:bCs/>
          <w:sz w:val="18"/>
          <w:szCs w:val="18"/>
          <w:lang w:eastAsia="es-MX"/>
        </w:rPr>
        <w:t>,</w:t>
      </w:r>
      <w:r w:rsidR="00117011">
        <w:rPr>
          <w:rFonts w:ascii="Arial" w:eastAsia="Times New Roman" w:hAnsi="Arial" w:cs="Arial"/>
          <w:bCs/>
          <w:sz w:val="18"/>
          <w:szCs w:val="18"/>
          <w:lang w:eastAsia="es-MX"/>
        </w:rPr>
        <w:t>132</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117011">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117011">
        <w:rPr>
          <w:lang w:val="es-MX"/>
        </w:rPr>
        <w:t>69</w:t>
      </w:r>
      <w:r w:rsidR="00AC2CB6">
        <w:rPr>
          <w:lang w:val="es-MX"/>
        </w:rPr>
        <w:t>,</w:t>
      </w:r>
      <w:r w:rsidR="00117011">
        <w:rPr>
          <w:lang w:val="es-MX"/>
        </w:rPr>
        <w:t>766</w:t>
      </w:r>
      <w:r w:rsidR="00AC2CB6">
        <w:rPr>
          <w:lang w:val="es-MX"/>
        </w:rPr>
        <w:t>,</w:t>
      </w:r>
      <w:r w:rsidR="00117011">
        <w:rPr>
          <w:lang w:val="es-MX"/>
        </w:rPr>
        <w:t>107</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117011">
        <w:rPr>
          <w:lang w:val="es-MX"/>
        </w:rPr>
        <w:t>780</w:t>
      </w:r>
      <w:r>
        <w:rPr>
          <w:lang w:val="es-MX"/>
        </w:rPr>
        <w:t>,</w:t>
      </w:r>
      <w:r w:rsidR="00117011">
        <w:rPr>
          <w:lang w:val="es-MX"/>
        </w:rPr>
        <w:t>035</w:t>
      </w:r>
      <w:r>
        <w:rPr>
          <w:lang w:val="es-MX"/>
        </w:rPr>
        <w:t>,</w:t>
      </w:r>
      <w:r w:rsidR="00117011">
        <w:rPr>
          <w:lang w:val="es-MX"/>
        </w:rPr>
        <w:t>579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117011">
        <w:rPr>
          <w:lang w:val="es-MX"/>
        </w:rPr>
        <w:t>marzo</w:t>
      </w:r>
      <w:r>
        <w:rPr>
          <w:lang w:val="es-MX"/>
        </w:rPr>
        <w:t xml:space="preserve"> un importe de </w:t>
      </w:r>
      <w:r w:rsidRPr="004466A7">
        <w:rPr>
          <w:lang w:val="es-MX"/>
        </w:rPr>
        <w:t>$</w:t>
      </w:r>
      <w:r>
        <w:rPr>
          <w:lang w:val="es-MX"/>
        </w:rPr>
        <w:t xml:space="preserve"> </w:t>
      </w:r>
      <w:r w:rsidR="005907A0">
        <w:rPr>
          <w:lang w:val="es-MX"/>
        </w:rPr>
        <w:t>23</w:t>
      </w:r>
      <w:r>
        <w:rPr>
          <w:lang w:val="es-MX"/>
        </w:rPr>
        <w:t>,</w:t>
      </w:r>
      <w:r w:rsidR="005907A0">
        <w:rPr>
          <w:lang w:val="es-MX"/>
        </w:rPr>
        <w:t>007</w:t>
      </w:r>
      <w:r>
        <w:rPr>
          <w:lang w:val="es-MX"/>
        </w:rPr>
        <w:t>,</w:t>
      </w:r>
      <w:r w:rsidR="005907A0">
        <w:rPr>
          <w:lang w:val="es-MX"/>
        </w:rPr>
        <w:t>380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907A0">
        <w:rPr>
          <w:lang w:val="es-MX"/>
        </w:rPr>
        <w:t>1</w:t>
      </w:r>
      <w:r w:rsidRPr="00DA18AC">
        <w:rPr>
          <w:lang w:val="es-MX"/>
        </w:rPr>
        <w:t xml:space="preserve"> de </w:t>
      </w:r>
      <w:r w:rsidR="005907A0">
        <w:rPr>
          <w:lang w:val="es-MX"/>
        </w:rPr>
        <w:t>marzo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F378E3">
        <w:rPr>
          <w:lang w:val="es-MX"/>
        </w:rPr>
        <w:t xml:space="preserve"> </w:t>
      </w:r>
      <w:r w:rsidR="005907A0">
        <w:rPr>
          <w:lang w:val="es-MX"/>
        </w:rPr>
        <w:t>872</w:t>
      </w:r>
      <w:r w:rsidRPr="00DA18AC">
        <w:rPr>
          <w:lang w:val="es-MX"/>
        </w:rPr>
        <w:t>,</w:t>
      </w:r>
      <w:r w:rsidR="005907A0">
        <w:rPr>
          <w:lang w:val="es-MX"/>
        </w:rPr>
        <w:t>809</w:t>
      </w:r>
      <w:r w:rsidRPr="00DA18AC">
        <w:rPr>
          <w:lang w:val="es-MX"/>
        </w:rPr>
        <w:t>,</w:t>
      </w:r>
      <w:r w:rsidR="005907A0">
        <w:rPr>
          <w:lang w:val="es-MX"/>
        </w:rPr>
        <w:t>066</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42716"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81282008"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4167FD" w:rsidP="006942ED">
      <w:pPr>
        <w:rPr>
          <w:lang w:eastAsia="es-ES"/>
        </w:rPr>
      </w:pPr>
      <w:r>
        <w:rPr>
          <w:noProof/>
          <w:szCs w:val="18"/>
          <w:lang w:eastAsia="es-MX"/>
        </w:rPr>
        <w:object w:dxaOrig="1440" w:dyaOrig="1440">
          <v:shape id="_x0000_s1046" type="#_x0000_t75" style="position:absolute;margin-left:34.5pt;margin-top:22.45pt;width:665.75pt;height:292.15pt;z-index:251663360">
            <v:imagedata r:id="rId10" o:title=""/>
            <w10:wrap type="topAndBottom"/>
          </v:shape>
          <o:OLEObject Type="Embed" ProgID="Excel.Sheet.12" ShapeID="_x0000_s1046" DrawAspect="Content" ObjectID="_1681282009"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4167FD"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81282010"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907A0">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 xml:space="preserve">En enero de 2021, el Fondo Monetario Internacional (FMI) estimó que 2020 cerró con una contracción del Producto Interno Bruto (PIB) mundial de 3.5%, menor a la caída de 4.9% esperada en junio de 2020. Para 2021, el FMI proyecta una recuperación del PIB mundial de 5.5% y estima que las economías avanzadas y emergentes crecerán 4.3 y 6.3%, respectivamente. En lo que respecta a América Latina y el Caribe, se prevé una recuperación de 4.1%.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En línea con las mejores expectativas de crecimiento en 2021, se proyecta que el PIB mundial alcanzará su nivel pre-pandemia al cierre del año. No obstante, se estima que la recuperación será desigual entre países, sectores, regiones y grupos poblacionales.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2020 representó un punto de inflexión importante a nivel global. Los gobiernos de todo el mundo se enfrentaron a retos sin precedentes en materia de salud, finanzas públicas y economía derivados de la pandemia de COVID-19, cuyas principales consecuencias han sido las más de 127 millones de personas contagiadas en el mundo y los 2.8 millones de lamentables decesos.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 xml:space="preserve">A más de un año del inicio de la pandemia, la población mundial ha tenido que sobreponerse y adaptarse a cohabitar con un virus que, según la Organización Mundial de la Salud, podría convertirse en una enfermedad endémica. No obstante, se mantiene la expectativa de un próximo retorno a la normalidad gracias a la aplicación delas vacunas contra COVID-19. La pandemia provocó también la peor caída de la actividad económica global desde la Gran Depresión.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Sin embargo, al tratarse de una crisis por diseño, una vez que las medidas de confinamiento y las restricciones a la movilidad se aligeraron, comenzó una acelerada recuperación del ritmo de crecimiento de la economía mundial. Asimismo, con el comienzo en diciembre de 2020 de la campaña de vacunación más grande de la historia a nivel mundial, el panorama económico mejoró y las expectativas de crecimiento para 2021 aumentaron significativamente.</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2020 también fue un año sin precedentes para la deuda pública internacional. Esto se debió, en gran medida, al impulso fiscal que llevaron a cabo los gobiernos de los países para hacer frente a la pandemia, además de una menor base de PIB y, para las economías emergentes, una depreciación en sus tipos de cambio. Según el Monitor Fiscal del FMI de enero de 2021, en 2020 la deuda pública mundial alcanzó el 98% del PIB mundial, su máximo histórico.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En el mediano plazo, el organismo proyecta que la deuda mundial seguirá una tendencia al alza, lo que representa un factor de riesgo para las finanzas públicas de la mayoría de los países. Esto último se exacerbaría en el caso de que los bancos centrales comiencen un proceso de contracción monetaria antes de lo anticipado, lo cual provocaría que los países más endeudados enfrentaran dificultades para pagar el servicio de su deuda, viéndose obligados a realizar ajustes fiscales.</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Existen diversos riesgos al alza para el crecimiento de la economía global durante 2021. Dentro de los factores que impulsarían el crecimiento están la efectividad y el rápido despliegue de las vacunas. Asimismo, los efectos de derrame que tendrán los estímulos fiscales de las economías avanzadas y el impacto favorable del restablecimiento de las cadenas globales de valor podrían acelerar el ritmo de expansión de la actividad económica. En contraste, entre los riesgos a la baja destacan la incertidumbre sobre la evolución de la pandemia, los posibles retrasos en la vacunación y la volatilidad en los mercados financieros, los cuales podrían restar dinamismo a la velocidad de recuperación.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Al igual que la economía real, desde finales de 2020 los precios del petróleo presentaron una recuperación acelerada, de tal forma que en enero de 2021 alcanzaron niveles </w:t>
      </w:r>
      <w:proofErr w:type="spellStart"/>
      <w:r w:rsidRPr="007025F4">
        <w:rPr>
          <w:rFonts w:ascii="Arial" w:hAnsi="Arial" w:cs="Arial"/>
          <w:sz w:val="18"/>
          <w:szCs w:val="18"/>
        </w:rPr>
        <w:t>prepandemia</w:t>
      </w:r>
      <w:proofErr w:type="spellEnd"/>
      <w:r w:rsidRPr="007025F4">
        <w:rPr>
          <w:rFonts w:ascii="Arial" w:hAnsi="Arial" w:cs="Arial"/>
          <w:sz w:val="18"/>
          <w:szCs w:val="18"/>
        </w:rPr>
        <w:t xml:space="preserve">. La recuperación se debió principalmente a una mejora de los fundamentos de la oferta y demanda, a los amplios estímulos fiscales y monetarios a nivel global y al dinamismo de la economía de China, el mayor importador de materias primas en el mundo.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Por el lado de la oferta, los miembros de la OPEP+ desempeñaron un papel crucial al recortar su producción en 7.7 millones de barriles diarios (</w:t>
      </w:r>
      <w:proofErr w:type="spellStart"/>
      <w:r w:rsidRPr="007025F4">
        <w:rPr>
          <w:rFonts w:ascii="Arial" w:hAnsi="Arial" w:cs="Arial"/>
          <w:sz w:val="18"/>
          <w:szCs w:val="18"/>
        </w:rPr>
        <w:t>Mbd</w:t>
      </w:r>
      <w:proofErr w:type="spellEnd"/>
      <w:r w:rsidRPr="007025F4">
        <w:rPr>
          <w:rFonts w:ascii="Arial" w:hAnsi="Arial" w:cs="Arial"/>
          <w:sz w:val="18"/>
          <w:szCs w:val="18"/>
        </w:rPr>
        <w:t xml:space="preserve">) entre agosto y diciembre de 2020. Además, la OPEP+ mantuvo un monitoreo constante del mercado y ajustó su recorte a 7.2 </w:t>
      </w:r>
      <w:proofErr w:type="spellStart"/>
      <w:r w:rsidRPr="007025F4">
        <w:rPr>
          <w:rFonts w:ascii="Arial" w:hAnsi="Arial" w:cs="Arial"/>
          <w:sz w:val="18"/>
          <w:szCs w:val="18"/>
        </w:rPr>
        <w:t>Mbd</w:t>
      </w:r>
      <w:proofErr w:type="spellEnd"/>
      <w:r w:rsidRPr="007025F4">
        <w:rPr>
          <w:rFonts w:ascii="Arial" w:hAnsi="Arial" w:cs="Arial"/>
          <w:sz w:val="18"/>
          <w:szCs w:val="18"/>
        </w:rPr>
        <w:t xml:space="preserve"> en enero de 2021, en lugar de los 5.8 </w:t>
      </w:r>
      <w:proofErr w:type="spellStart"/>
      <w:r w:rsidRPr="007025F4">
        <w:rPr>
          <w:rFonts w:ascii="Arial" w:hAnsi="Arial" w:cs="Arial"/>
          <w:sz w:val="18"/>
          <w:szCs w:val="18"/>
        </w:rPr>
        <w:t>Mbd</w:t>
      </w:r>
      <w:proofErr w:type="spellEnd"/>
      <w:r w:rsidRPr="007025F4">
        <w:rPr>
          <w:rFonts w:ascii="Arial" w:hAnsi="Arial" w:cs="Arial"/>
          <w:sz w:val="18"/>
          <w:szCs w:val="18"/>
        </w:rPr>
        <w:t xml:space="preserve"> originalmente previstos. Si bien, entre febrero y abril se aprobaron aumentos moderados en la producción, Arabia Saudita se comprometió de forma voluntaria a reducir en 1 </w:t>
      </w:r>
      <w:proofErr w:type="spellStart"/>
      <w:r w:rsidRPr="007025F4">
        <w:rPr>
          <w:rFonts w:ascii="Arial" w:hAnsi="Arial" w:cs="Arial"/>
          <w:sz w:val="18"/>
          <w:szCs w:val="18"/>
        </w:rPr>
        <w:t>Mbd</w:t>
      </w:r>
      <w:proofErr w:type="spellEnd"/>
      <w:r w:rsidRPr="007025F4">
        <w:rPr>
          <w:rFonts w:ascii="Arial" w:hAnsi="Arial" w:cs="Arial"/>
          <w:sz w:val="18"/>
          <w:szCs w:val="18"/>
        </w:rPr>
        <w:t xml:space="preserve"> su oferta durante estos meses. Por el lado de la demanda, se han generado incrementos y expectativas positivas gracias a la reactivación económica esperada por el avance de las distintas campañas de vacunación contra el COVID-19 a nivel mundial.</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Los principales índices financieros mundiales registraron una recuperación total con respecto a sus niveles pre-pandemia. En línea con lo anterior, y ante la existencia de mejores expectativas económicas para 2021, la volatilidad en los mercados financieros se redujo de manera importante y, al 26 de marzo de 2021, el índice de volatilidad de mercado VIX disminuyó 77.2% con respecto al nivel máximo alcanzado en 2020. Lo anterior se tradujo en un restablecimiento significativo de los flujos de capitales hacia economías emergentes. Particularmente, durante el cuarto trimestre de 2020, el índice que mide el flujo neto de capital hacia economías en desarrollo, calculado por Bloomberg, se ubicó en 102.4% con respecto a su nivel pre-pandemia del cuarto trimestre de 2019. Por otro lado, las mejores proyecciones de crecimiento de la economía estadounidense acompañada de presiones inflacionarias, producto de las políticas expansivas del gobierno del presidente </w:t>
      </w:r>
      <w:proofErr w:type="spellStart"/>
      <w:r w:rsidRPr="007025F4">
        <w:rPr>
          <w:rFonts w:ascii="Arial" w:hAnsi="Arial" w:cs="Arial"/>
          <w:sz w:val="18"/>
          <w:szCs w:val="18"/>
        </w:rPr>
        <w:t>Biden</w:t>
      </w:r>
      <w:proofErr w:type="spellEnd"/>
      <w:r w:rsidRPr="007025F4">
        <w:rPr>
          <w:rFonts w:ascii="Arial" w:hAnsi="Arial" w:cs="Arial"/>
          <w:sz w:val="18"/>
          <w:szCs w:val="18"/>
        </w:rPr>
        <w:t xml:space="preserve"> han provocado que, desde la segunda quincena de febrero, se observe una recomposición parcial de los portafolios de inversión en el mundo hacia activos financieros con mayores tasas de rendimiento.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situación económica que enfrentó México por la pandemia de COVID-19 en 2020 estuvo estrechamente ligada a la evolución de los contagios, el confinamiento y las medidas sanitarias implementadas. El efecto de estas medidas se vio reflejado en una disminución en la movilidad de la población y un menor ritmo de la actividad económica. No obstante, una parte importante de la afectación provino del sector externo derivado, primero, por las interrupciones en las cadenas de valor globales ante el cierre de fábricas y fronteras entre nuestros principales socios comerciales y, posteriormente, por una menor demanda de nuestras exportaciones de manera generalizada. Esta situación ocasionó, por un lado, el colapso del comercio internacional y de los precios de materias primas por la menor demanda de insumos industriales y, por otro lado, una menor demanda de bienes manufacturados, así como de otros bienes y servicios de exportación. Un factor importante en la menor demanda de servicios fue la disminución del flujo de viajeros hacia el territorio nacional por motivos turísticos y de negocios.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El mercado financiero nacional reflejó el deterioro en las perspectivas de crecimiento en el año y la mayor incertidumbre frente a la pandemia. El índice de precios y cotizaciones de la Bolsa Mexicana de Valores (BMV), que mide el valor de las empresas participantes, se contrajo en 14% entre el cierre de 2019 y marzo de 2020. Mientras tanto, los bonos emitidos por empresas privadas y por el gobierno experimentaron una súbita alza de sus rendimientos y primas de riesgo, lo cual elevó sus costos y dificultó el acceso a financiamiento. Adicionalmente, el aumento en la percepción de riesgo a nivel internacional afectó la cuenta financiera de la balanza de pagos, que presentó una considerable salida de capitales, lo cual se reflejó en una depreciación cambiaria de una magnitud que no se había visto desde la Gran Recesión de 2008-2009.</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Con la finalidad de reducir el número de contagios por COVID-19, en México se implementó en primer lugar la Jornada de Sana Distancia junto con la designación de actividades esenciales y no esenciales. Las mayores restricciones ocurrieron en el bimestre abril-mayo, posteriormente con la puesta en marcha del sistema de semáforo de riesgo epidemiológico a nivel estatal se inició un proceso de relajamiento de las restricciones en dos sentidos. Primero, actividades como la producción de equipo de transporte, la minería no petrolera y la construcción se reclasificaron como actividades esenciales. Esto permitió que dichos sectores, que representan aproximadamente el 14% del valor de la producción total y emplean alrededor del 27% de las personas trabajadoras, reanudaran sus actividades. Segundo, el semáforo rojo cambió a naranja el 26 de junio en 17 entidades del país, con lo cual se relajaron las restricciones, aumentando la movilidad de la población y con esto la actividad económica que había estado estancada. En este contexto se observó que en junio de 2020 la actividad económica de México, medida con el Índice Global de Actividad Económica (IGAE), aumentó 8.9% impulsada principalmente por la actividad manufacturera, el comercio, la construcción y la minería, con datos ajustados por estacionalidad. Posteriormente, el mayor dinamismo de la economía mexicana se vio reflejado en el PIB del tercer trimestre que presentó un crecimiento trimestral de 12.4%, donde las contribuciones más notables fueron en el consumo privado, las exportaciones netas y la inversión privada.</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Durante la segunda mitad de diciembre de 2020 y en enero de 2021, ocho entidades federativas con una contribución al PIB de 51.6% intensificaron las medidas restrictivas a la apertura de negocios y la movilidad en respuesta al incremento en el número de contagios. Por lo anterior, el IGAE presentó </w:t>
      </w:r>
      <w:proofErr w:type="gramStart"/>
      <w:r w:rsidRPr="007025F4">
        <w:rPr>
          <w:rFonts w:ascii="Arial" w:hAnsi="Arial" w:cs="Arial"/>
          <w:sz w:val="18"/>
          <w:szCs w:val="18"/>
        </w:rPr>
        <w:t>una alza moderada</w:t>
      </w:r>
      <w:proofErr w:type="gramEnd"/>
      <w:r w:rsidRPr="007025F4">
        <w:rPr>
          <w:rFonts w:ascii="Arial" w:hAnsi="Arial" w:cs="Arial"/>
          <w:sz w:val="18"/>
          <w:szCs w:val="18"/>
        </w:rPr>
        <w:t xml:space="preserve"> de 0.4% en el bimestre de diciembre-enero respecto al bimestre anterior, con cifras ajustadas por estacionalidad.</w:t>
      </w:r>
    </w:p>
    <w:p w:rsidR="002748C9"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Cabe mencionar que dos elementos podrían ocasionar afectaciones temporales en la economía en el primer trimestre de 2021, particularmente en el sector industrial. En primer lugar, las bajas temperaturas en EE.UU. generaron afectaciones en la infraestructura e imposibilitaron la distribución de gas natural, mientras que su demanda se incrementó. Ante ello, el Gobernador de Texas, región productora de gas natural más grande en EE.UU., anunció la prohibición de exportación de gas, lo que generó desabasto en 26 entidades de México. En segundo lugar, las empresas Audi y General Motors anunciaron el cierre temporal en sus plantas de San Luis Potosí y Puebla derivado de la escasez global de semiconductores. Debido a las trayectorias de recuperación que se han observado en 2020, la tendencia para 2021 es que continúe el dinamismo en el sector primario y la minería por un aumento en la demanda y los precios de las materias primas. Asimismo, las manufacturas y los servicios que se han </w:t>
      </w:r>
      <w:r w:rsidRPr="007025F4">
        <w:rPr>
          <w:rFonts w:ascii="Arial" w:hAnsi="Arial" w:cs="Arial"/>
          <w:sz w:val="18"/>
          <w:szCs w:val="18"/>
        </w:rPr>
        <w:lastRenderedPageBreak/>
        <w:t xml:space="preserve">logrado adaptar mejor a la pandemia seguirán impulsando estos sectores. Si bien hay factores climatológicos y de logística que han afectado a la economía mexicana en el primer trimestre, estos han estado focalizados en algunas industrias y son de carácter temporal, lo cual se estima se </w:t>
      </w:r>
      <w:proofErr w:type="spellStart"/>
      <w:r w:rsidRPr="007025F4">
        <w:rPr>
          <w:rFonts w:ascii="Arial" w:hAnsi="Arial" w:cs="Arial"/>
          <w:sz w:val="18"/>
          <w:szCs w:val="18"/>
        </w:rPr>
        <w:t>corriga</w:t>
      </w:r>
      <w:proofErr w:type="spellEnd"/>
      <w:r w:rsidRPr="007025F4">
        <w:rPr>
          <w:rFonts w:ascii="Arial" w:hAnsi="Arial" w:cs="Arial"/>
          <w:sz w:val="18"/>
          <w:szCs w:val="18"/>
        </w:rPr>
        <w:t xml:space="preserve"> en el transcurso del año. Adicionalmente, se espera una recuperación general de todas las actividades en respuesta al programa de vacunación que permitirá relajar aún más las medidas sanitarias en México y otras partes del mundo, para darle mayor movilidad a la población y permitir que la actividad económica transite a la normalidad. Durante abril y mayo de 2020 la contingencia sanitaria afectó a 12 millones de personas que perdieron su ocupación, 220 mil que buscaron trabajo sin poder encontrar y 13 millones que salieron de la fuerza laboral, resultando en una tasa neta de participación económica (TNPE) promedio de 47.5% de la población en edad de trabajar, mientras que en el primer trimestre de 2020 había sido de 59.9%. </w:t>
      </w:r>
    </w:p>
    <w:p w:rsidR="002748C9"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impacto de la pandemia también se observó en una disminución del promedio de las horas laborables a la semana de los empleos que permanecieron en medio del confinamiento por la pandemia del COVID-19, pasando de 43.0 horas en marzo de 2020 a 37.6 horas en mayo. Aunado a esto, la población </w:t>
      </w:r>
      <w:proofErr w:type="spellStart"/>
      <w:r w:rsidRPr="007025F4">
        <w:rPr>
          <w:rFonts w:ascii="Arial" w:hAnsi="Arial" w:cs="Arial"/>
          <w:sz w:val="18"/>
          <w:szCs w:val="18"/>
        </w:rPr>
        <w:t>subocupada</w:t>
      </w:r>
      <w:proofErr w:type="spellEnd"/>
      <w:r w:rsidRPr="007025F4">
        <w:rPr>
          <w:rFonts w:ascii="Arial" w:hAnsi="Arial" w:cs="Arial"/>
          <w:sz w:val="18"/>
          <w:szCs w:val="18"/>
        </w:rPr>
        <w:t xml:space="preserve"> aumentó en 8 millones y la tasa de subocupación llegó a 29.9% en mayo desde una tasa de 9.1% en marzo. No obstante, una vez que se relajaron las medidas de contención y aumentó la adaptación de la población y de las empresas al operar con medidas sanitarias a pesar de la presencia del virus, la recuperación del empleo comenzó a materializarse. En diciembre de 2020, la participación de la población de 15 años o más en el mercado de trabajo se incrementó en 9.5 millones de personas que regresaron a la fuerza laboral. Desde su nivel más bajo observado en abril y a febrero se han añadido medio millón más. Igualmente, luego de que la TNPE promedio de 2020 se ubicó en 55.3% de la población en edad de trabajar, en febrero de 2021 se situó en 56.7%.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el caso del desempleo, la tasa de desocupación promedio de 2020 fue de 4.4%, reflejando una recuperación de 9.5 millones de empleos de mayo a diciembre, siendo 702.4 mil los empleos formales recuperados; y 8.8 millones los informales. Del cierre de 2020 a febrero de 2021 se han añadido 194.2 mil empleos, donde disminuyeron 66 mil empleos </w:t>
      </w:r>
      <w:proofErr w:type="gramStart"/>
      <w:r w:rsidRPr="007025F4">
        <w:rPr>
          <w:rFonts w:ascii="Arial" w:hAnsi="Arial" w:cs="Arial"/>
          <w:sz w:val="18"/>
          <w:szCs w:val="18"/>
        </w:rPr>
        <w:t>informales</w:t>
      </w:r>
      <w:proofErr w:type="gramEnd"/>
      <w:r w:rsidRPr="007025F4">
        <w:rPr>
          <w:rFonts w:ascii="Arial" w:hAnsi="Arial" w:cs="Arial"/>
          <w:sz w:val="18"/>
          <w:szCs w:val="18"/>
        </w:rPr>
        <w:t xml:space="preserve"> pero se incrementaron 260 mil empleos formales. Adicional a la recuperación en el número de empleos, se observó una recuperación de las horas laborables. En primera instancia, de mayo a diciembre de 2020 disminuyeron en 8.2 millones los ocupados que, por la situación sanitaria, se encontraban ausentes de su </w:t>
      </w:r>
      <w:proofErr w:type="gramStart"/>
      <w:r w:rsidRPr="007025F4">
        <w:rPr>
          <w:rFonts w:ascii="Arial" w:hAnsi="Arial" w:cs="Arial"/>
          <w:sz w:val="18"/>
          <w:szCs w:val="18"/>
        </w:rPr>
        <w:t>trabajo</w:t>
      </w:r>
      <w:proofErr w:type="gramEnd"/>
      <w:r w:rsidRPr="007025F4">
        <w:rPr>
          <w:rFonts w:ascii="Arial" w:hAnsi="Arial" w:cs="Arial"/>
          <w:sz w:val="18"/>
          <w:szCs w:val="18"/>
        </w:rPr>
        <w:t xml:space="preserve"> pero con vínculo laboral y habían llegado a 9.5 millones en abril. Así, las horas trabajadas a la semana por la población ocupada alcanzaron su máximo en diciembre de 2020 con 42.2, promediando 41.1 en todo el año. Además, la tasa de subocupación se recuperó y en diciembre llegó a 14.2% (promedio 2020, 16.4%). Sin embargo, al mes de febrero de 2021 aproximadamente 1 millón y medio de ocupados se encuentran ausentes temporalmente y hay 2.3 millones de </w:t>
      </w:r>
      <w:proofErr w:type="spellStart"/>
      <w:r w:rsidRPr="007025F4">
        <w:rPr>
          <w:rFonts w:ascii="Arial" w:hAnsi="Arial" w:cs="Arial"/>
          <w:sz w:val="18"/>
          <w:szCs w:val="18"/>
        </w:rPr>
        <w:t>subocupados</w:t>
      </w:r>
      <w:proofErr w:type="spellEnd"/>
      <w:r w:rsidRPr="007025F4">
        <w:rPr>
          <w:rFonts w:ascii="Arial" w:hAnsi="Arial" w:cs="Arial"/>
          <w:sz w:val="18"/>
          <w:szCs w:val="18"/>
        </w:rPr>
        <w:t xml:space="preserve"> adicionales a los que se registraron en el mes de marzo de 2020, aunque se registró la tasa de subocupación más baja desde el inicio de la pandemia de 13.9%.</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No obstante, desde noviembre de 2020, las presiones inflacionarias se han reducido al tiempo que las expectativas de mediano plazo para la inflación se mantuvieron bien ancladas. A pesar de las presiones en el año, la inflación general registró un promedio anual de 3.4% en 2020 y, al cierre del año, la inflación general anual se ubicó en 3.15%. A la primera quincena de marzo de 2021, la inflación general mostró menores presiones en los precios de las frutas y las verduras; sin embargo, los precios de los energéticos, en particular la gasolina y el gas, presentaron aumentos que han presionado la inflación, de modo que la variación anual llegó a 4.12%. Mientras tanto, la inflación subyacente continuó mostrando resistencia a la baja y en la primera quincena de marzo alcanzó una tasa anual de 4.09%. En su interior, es importante la divergencia entre la variación en los precios de las mercancías y los precios de los servicios, los cuales registraron una tasa anual de 5.81 y 2.22%, respectivamente. Por otra parte, la inflación no subyacente, que mostró una mayor volatilidad a la inflación general en 2020, en la primera quincena de marzo de 2021 alcanzó una tasa anual de 4.19%. Para el segundo trimestre de 2021, se espera un incremento en la inflación general debido al efecto aritmético del cálculo de la tasa anual con respecto a una base de comparación más baja, que fue el nivel de precios de 2020. Asimismo, los incrementos en los precios de los energéticos en los primeros meses de 2021 podrían traer algunas presiones en el año y volatilidad sobre la inflación no subyacente. No obstante, las expectativas de mediano plazo se mantienen ancladas debido a que aún persisten condiciones de holgura en la actividad económica y el mercado laboral en particular.</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El 20 de enero de 2021, el tipo de cambio alcanzó su mejor nivel desde principios de la pandemia, al ubicarse en 19.60 pesos por dólar el 20 de enero de 2021. A partir de ahí, el peso mexicano registró una depreciación de 6.4% para ubicarse en un nivel de 20.94 pesos por dólar el 24 de marzo de 2021. No obstante, es importante destacar que la divisa mexicana es la moneda emergente con mayor apreciación, en 21.09%, con respecto al 23 de marzo de 2020.</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lastRenderedPageBreak/>
        <w:t>La actividad económica, el empleo y el bienestar se recuperan paulatinamente en México y el mundo, mientras continúa el combate a la pandemia del COVID-19. El rápido desarrollo e inicio de la estrategia de vacunación contra la enfermedad, y los esfuerzos sostenidos de gobiernos y bancos centrales del mundo para mitigar los impactos de esta última, respaldan la expectativa de una reactivación en 2021 más acelerada que la prevista. En México, la recuperación económica ha evolucionado conforme a las proyecciones presentadas en septiembre de 2020 con una mejoría más pronunciada en los sectores que menos dependen del contacto social o que se han adaptado más rápidamente al contexto. En el cuarto trimestre de 2020 el Producto Interno Bruto (PIB) de las actividades primarias llegó a 104.9% de su nivel de un año previo, mientras que el de las secundarias alcanzó un 96.8% y el de las terciarias un 94.8%, con cifras ajustadas por estacionalidad</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estimación de las finanzas públicas para el cierre de 2021 considera una tasa de crecimiento puntual del PIB de 5.3% real, una plataforma de producción de 1,794.0 </w:t>
      </w:r>
      <w:proofErr w:type="spellStart"/>
      <w:r w:rsidRPr="007025F4">
        <w:rPr>
          <w:rFonts w:ascii="Arial" w:hAnsi="Arial" w:cs="Arial"/>
          <w:sz w:val="18"/>
          <w:szCs w:val="18"/>
        </w:rPr>
        <w:t>mbd</w:t>
      </w:r>
      <w:proofErr w:type="spellEnd"/>
      <w:r w:rsidRPr="007025F4">
        <w:rPr>
          <w:rFonts w:ascii="Arial" w:hAnsi="Arial" w:cs="Arial"/>
          <w:sz w:val="18"/>
          <w:szCs w:val="18"/>
        </w:rPr>
        <w:t xml:space="preserve"> y un tipo de cambio promedio de 20.1 pesos por dólar, así como un precio del petróleo promedio de 55.0 dpb y una tasa de interés nominal promedio de 4.0%. En su conjunto, la actualización del marco macroeconómico, la información observada sobre las finanzas públicas a febrero y las sensibilidades fiscales, arrojan una evolución ordenada del ingreso y el gasto que permitirá cumplir con las metas fiscales para el ejercicio fiscal en 2021.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particular, para el cierre del año se estima un nivel de los RFSP de 3.3% del PIB (menor en 0.6 </w:t>
      </w:r>
      <w:proofErr w:type="spellStart"/>
      <w:r w:rsidRPr="007025F4">
        <w:rPr>
          <w:rFonts w:ascii="Arial" w:hAnsi="Arial" w:cs="Arial"/>
          <w:sz w:val="18"/>
          <w:szCs w:val="18"/>
        </w:rPr>
        <w:t>pp</w:t>
      </w:r>
      <w:proofErr w:type="spellEnd"/>
      <w:r w:rsidRPr="007025F4">
        <w:rPr>
          <w:rFonts w:ascii="Arial" w:hAnsi="Arial" w:cs="Arial"/>
          <w:sz w:val="18"/>
          <w:szCs w:val="18"/>
        </w:rPr>
        <w:t xml:space="preserve"> del PIB con respecto al nivel observado en 2020 y en 0.1 </w:t>
      </w:r>
      <w:proofErr w:type="spellStart"/>
      <w:r w:rsidRPr="007025F4">
        <w:rPr>
          <w:rFonts w:ascii="Arial" w:hAnsi="Arial" w:cs="Arial"/>
          <w:sz w:val="18"/>
          <w:szCs w:val="18"/>
        </w:rPr>
        <w:t>pp</w:t>
      </w:r>
      <w:proofErr w:type="spellEnd"/>
      <w:r w:rsidRPr="007025F4">
        <w:rPr>
          <w:rFonts w:ascii="Arial" w:hAnsi="Arial" w:cs="Arial"/>
          <w:sz w:val="18"/>
          <w:szCs w:val="18"/>
        </w:rPr>
        <w:t xml:space="preserve"> del PIB con respecto al monto previsto originalmente para 2021), lo que permitirá disminuir el SHRFSP en 2021 a 51.4% del PIB y colocarlo en una senda decreciente a partir de entonces, consistente con la trayectoria presentada en el Paquete Económico para 2021. Además, se anticipa un déficit de 0.7% del PIB en el balance público, al excluir la inversión de hasta 2.2% del PIB del Gobierno Federal y de las Empresas Productivas del Estado, monto que se mantiene constante en términos reales respecto al aprobado en 2020. Al incluir esta inversión, se estima un déficit público de 2.8% del PIB, igual al establecido en el Paquete Económico aprobado por el H. Congreso de la Unión.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recuperación estimada para 2021 en los ingresos presupuestarios ordinarios permitirá continuar con el proceso de reactivación de la economía, así como disminuir la deuda para evitar comprometer los recursos de generaciones futuras. Se anticipa que los ingresos presupuestarios serán superiores en 174.3 </w:t>
      </w:r>
      <w:proofErr w:type="spellStart"/>
      <w:r w:rsidRPr="007025F4">
        <w:rPr>
          <w:rFonts w:ascii="Arial" w:hAnsi="Arial" w:cs="Arial"/>
          <w:sz w:val="18"/>
          <w:szCs w:val="18"/>
        </w:rPr>
        <w:t>mmp</w:t>
      </w:r>
      <w:proofErr w:type="spellEnd"/>
      <w:r w:rsidRPr="007025F4">
        <w:rPr>
          <w:rFonts w:ascii="Arial" w:hAnsi="Arial" w:cs="Arial"/>
          <w:sz w:val="18"/>
          <w:szCs w:val="18"/>
        </w:rPr>
        <w:t xml:space="preserve"> a los previstos en la LIF 2021. Esto se explica, fundamentalmente, por la reactivación más temprana y de mayor alcance de lo previsto, y debido a que los ingresos tributarios al cierre de 2020 fueron mayores en 106.7 </w:t>
      </w:r>
      <w:proofErr w:type="spellStart"/>
      <w:r w:rsidRPr="007025F4">
        <w:rPr>
          <w:rFonts w:ascii="Arial" w:hAnsi="Arial" w:cs="Arial"/>
          <w:sz w:val="18"/>
          <w:szCs w:val="18"/>
        </w:rPr>
        <w:t>mmp</w:t>
      </w:r>
      <w:proofErr w:type="spellEnd"/>
      <w:r w:rsidRPr="007025F4">
        <w:rPr>
          <w:rFonts w:ascii="Arial" w:hAnsi="Arial" w:cs="Arial"/>
          <w:sz w:val="18"/>
          <w:szCs w:val="18"/>
        </w:rPr>
        <w:t xml:space="preserve"> que los usados en las estimaciones del Paquete Económico 2021. Dado lo anterior, se estima que dicho rubro termine el año con un incremento de 68.7 con respecto a lo aprobado en la LIF 2021.</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cifra incluye el efecto de mayores estímulos al IEPS aplicable a combustibles, asociados a la mejoría en el precio del petróleo y que tienen como objetivo proteger el poder adquisitivo de la población. Adicionalmente, está amparada en el fortalecimiento del marco tributario realizado desde 2019 para optimizar la recaudación sin aumentar los impuestos ni crear nuevos, a fin de otorgar certidumbre en la materia. Por último, toma en cuenta que entre 2016 y 2020 el 18.7% de la recaudación tributaria se ha concentrado en los meses de marzo y abril, por lo que las cifras de los primeros meses del año tienden a ser volátiles y no reflejan adecuadamente el comportamiento que se puede prever para todo el periodo.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Los ingresos petroleros del sector público también se revisan al alza en 91.8 </w:t>
      </w:r>
      <w:proofErr w:type="spellStart"/>
      <w:r w:rsidRPr="007025F4">
        <w:rPr>
          <w:rFonts w:ascii="Arial" w:hAnsi="Arial" w:cs="Arial"/>
          <w:sz w:val="18"/>
          <w:szCs w:val="18"/>
        </w:rPr>
        <w:t>mmp</w:t>
      </w:r>
      <w:proofErr w:type="spellEnd"/>
      <w:r w:rsidRPr="007025F4">
        <w:rPr>
          <w:rFonts w:ascii="Arial" w:hAnsi="Arial" w:cs="Arial"/>
          <w:sz w:val="18"/>
          <w:szCs w:val="18"/>
        </w:rPr>
        <w:t xml:space="preserve">. Además de incorporar el efecto del mayor precio de petróleo que más que compensa la menor producción de crudo, la estimación y su distribución entre Pemex y el Gobierno Federal incluye un apoyo de este último a la empresa por 170 </w:t>
      </w:r>
      <w:proofErr w:type="spellStart"/>
      <w:r w:rsidRPr="007025F4">
        <w:rPr>
          <w:rFonts w:ascii="Arial" w:hAnsi="Arial" w:cs="Arial"/>
          <w:sz w:val="18"/>
          <w:szCs w:val="18"/>
        </w:rPr>
        <w:t>mmp</w:t>
      </w:r>
      <w:proofErr w:type="spellEnd"/>
      <w:r w:rsidRPr="007025F4">
        <w:rPr>
          <w:rFonts w:ascii="Arial" w:hAnsi="Arial" w:cs="Arial"/>
          <w:sz w:val="18"/>
          <w:szCs w:val="18"/>
        </w:rPr>
        <w:t xml:space="preserve">. Éste se compone del beneficio fiscal por 73.3 </w:t>
      </w:r>
      <w:proofErr w:type="spellStart"/>
      <w:r w:rsidRPr="007025F4">
        <w:rPr>
          <w:rFonts w:ascii="Arial" w:hAnsi="Arial" w:cs="Arial"/>
          <w:sz w:val="18"/>
          <w:szCs w:val="18"/>
        </w:rPr>
        <w:t>mmp</w:t>
      </w:r>
      <w:proofErr w:type="spellEnd"/>
      <w:r w:rsidRPr="007025F4">
        <w:rPr>
          <w:rFonts w:ascii="Arial" w:hAnsi="Arial" w:cs="Arial"/>
          <w:sz w:val="18"/>
          <w:szCs w:val="18"/>
        </w:rPr>
        <w:t xml:space="preserve">, que entró en vigor el 19 de febrero y se aplicará durante todo el año, así como una capitalización de 96.7 </w:t>
      </w:r>
      <w:proofErr w:type="spellStart"/>
      <w:r w:rsidRPr="007025F4">
        <w:rPr>
          <w:rFonts w:ascii="Arial" w:hAnsi="Arial" w:cs="Arial"/>
          <w:sz w:val="18"/>
          <w:szCs w:val="18"/>
        </w:rPr>
        <w:t>mmp</w:t>
      </w:r>
      <w:proofErr w:type="spellEnd"/>
      <w:r w:rsidRPr="007025F4">
        <w:rPr>
          <w:rFonts w:ascii="Arial" w:hAnsi="Arial" w:cs="Arial"/>
          <w:sz w:val="18"/>
          <w:szCs w:val="18"/>
        </w:rPr>
        <w:t xml:space="preserve"> destinada a cubrir el pago de amortizaciones de 2021, de la cual se entregaron 32.0 </w:t>
      </w:r>
      <w:proofErr w:type="spellStart"/>
      <w:r w:rsidRPr="007025F4">
        <w:rPr>
          <w:rFonts w:ascii="Arial" w:hAnsi="Arial" w:cs="Arial"/>
          <w:sz w:val="18"/>
          <w:szCs w:val="18"/>
        </w:rPr>
        <w:t>mmp</w:t>
      </w:r>
      <w:proofErr w:type="spellEnd"/>
      <w:r w:rsidRPr="007025F4">
        <w:rPr>
          <w:rFonts w:ascii="Arial" w:hAnsi="Arial" w:cs="Arial"/>
          <w:sz w:val="18"/>
          <w:szCs w:val="18"/>
        </w:rPr>
        <w:t xml:space="preserve"> en febrero. El apoyo forma parte de la estrategia multianual iniciada en 2019 para reducir estructuralmente las elevadas cargas fiscal y de deuda de una empresa estratégica y rentable, a fin de permitirle invertir y generar más recursos en el futuro, al tiempo que el Gobierno Federal fortalece otras fuentes de ingresos y preserva la salud de las finanzas públicas.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2019 los ingresos de Pemex antes de intereses, impuestos, depreciación y amortizaciones (EBITDA, por sus siglas en inglés) representaron el 13.3% de los ingresos, rentabilidad similar a la de empresas como Shell (15.5%) o Exxon (10.7%), con cifras de Bloomberg. Sin embargo, la deuda como porcentaje de los ingresos ascendió a </w:t>
      </w:r>
      <w:r w:rsidRPr="007025F4">
        <w:rPr>
          <w:rFonts w:ascii="Arial" w:hAnsi="Arial" w:cs="Arial"/>
          <w:sz w:val="18"/>
          <w:szCs w:val="18"/>
        </w:rPr>
        <w:lastRenderedPageBreak/>
        <w:t xml:space="preserve">149% para Pemex, mientras que fue 28 y 21% para Shell y Exxon, respectivamente. Por su parte, la carga fiscal de Pemex ascendió a 184% del EBITDA, mientras que para Shell y Exxon fue de solo 17 y 19%, respectivamente. La ayuda significa también una inversión altamente redituable de corto, mediano y largo plazo para el Estado mexicano, al fortalecer la posición financiera de un activo clave para las finanzas del sector público y para la estabilidad macroeconómica, y al 34 liberar recursos para inversión que redunda en mayor producción de hidrocarburos y petrolíferos. Por cada peso de apoyo otorgado a Pemex en 2019 y 2020, el Gobierno Federal recibió de Pemex 4.8 y 3.5 pesos en distintas contribuciones, respectivamente.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Finalmente, el robustecimiento en curso de los ingresos tributarios, los mayores ingresos no tributarios por 16.2 </w:t>
      </w:r>
      <w:proofErr w:type="spellStart"/>
      <w:r w:rsidRPr="007025F4">
        <w:rPr>
          <w:rFonts w:ascii="Arial" w:hAnsi="Arial" w:cs="Arial"/>
          <w:sz w:val="18"/>
          <w:szCs w:val="18"/>
        </w:rPr>
        <w:t>mmp</w:t>
      </w:r>
      <w:proofErr w:type="spellEnd"/>
      <w:r w:rsidRPr="007025F4">
        <w:rPr>
          <w:rFonts w:ascii="Arial" w:hAnsi="Arial" w:cs="Arial"/>
          <w:sz w:val="18"/>
          <w:szCs w:val="18"/>
        </w:rPr>
        <w:t xml:space="preserve"> generados por las dependencias y que tienen por ley destino específico, y la normalización de las condiciones en el sector petrolero a nivel mundial brindan espacio para el otorgamiento del apoyo, sin presionar las finanzas ni la deuda pública.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El crecimiento previsto en los ingresos de Pemex, por 83.2 </w:t>
      </w:r>
      <w:proofErr w:type="spellStart"/>
      <w:r w:rsidRPr="007025F4">
        <w:rPr>
          <w:rFonts w:ascii="Arial" w:hAnsi="Arial" w:cs="Arial"/>
          <w:sz w:val="18"/>
          <w:szCs w:val="18"/>
        </w:rPr>
        <w:t>mmp</w:t>
      </w:r>
      <w:proofErr w:type="spellEnd"/>
      <w:r w:rsidRPr="007025F4">
        <w:rPr>
          <w:rFonts w:ascii="Arial" w:hAnsi="Arial" w:cs="Arial"/>
          <w:sz w:val="18"/>
          <w:szCs w:val="18"/>
        </w:rPr>
        <w:t xml:space="preserve">, considera el efecto sobre las ventas de combustibles de una recuperación de la movilidad más lenta que la usada en las proyecciones del Paquete Económico 2021. Esto se deriva del impacto particularmente pronunciado que la pandemia ha tenido sobre el sector aeronáutico, así como a la aceleración de cambios en prácticas laborales, comercio y entretenimiento que ha traído la pandemia e implican que la gente pase más tiempo en sus hogares, los cuales no se revertirán incluso con la vacunación.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En cuanto al gasto neto, se estima un incremento de 174.3 </w:t>
      </w:r>
      <w:proofErr w:type="spellStart"/>
      <w:r w:rsidRPr="007025F4">
        <w:rPr>
          <w:rFonts w:ascii="Arial" w:hAnsi="Arial" w:cs="Arial"/>
          <w:sz w:val="18"/>
          <w:szCs w:val="18"/>
        </w:rPr>
        <w:t>mmp</w:t>
      </w:r>
      <w:proofErr w:type="spellEnd"/>
      <w:r w:rsidRPr="007025F4">
        <w:rPr>
          <w:rFonts w:ascii="Arial" w:hAnsi="Arial" w:cs="Arial"/>
          <w:sz w:val="18"/>
          <w:szCs w:val="18"/>
        </w:rPr>
        <w:t xml:space="preserve">. El gasto programable se incrementará en 173.4 </w:t>
      </w:r>
      <w:proofErr w:type="spellStart"/>
      <w:r w:rsidRPr="007025F4">
        <w:rPr>
          <w:rFonts w:ascii="Arial" w:hAnsi="Arial" w:cs="Arial"/>
          <w:sz w:val="18"/>
          <w:szCs w:val="18"/>
        </w:rPr>
        <w:t>mmp</w:t>
      </w:r>
      <w:proofErr w:type="spellEnd"/>
      <w:r w:rsidRPr="007025F4">
        <w:rPr>
          <w:rFonts w:ascii="Arial" w:hAnsi="Arial" w:cs="Arial"/>
          <w:sz w:val="18"/>
          <w:szCs w:val="18"/>
        </w:rPr>
        <w:t xml:space="preserve">, como resultado de las ampliaciones sustentadas en los ingresos excedentes de acuerdo con lo establecido en la Ley Federal de Presupuesto y Responsabilidad Hacendaria (LFPRH). Por lo que respecta al gasto no programable, se prevé un monto superior en 0.9 </w:t>
      </w:r>
      <w:proofErr w:type="spellStart"/>
      <w:r w:rsidRPr="007025F4">
        <w:rPr>
          <w:rFonts w:ascii="Arial" w:hAnsi="Arial" w:cs="Arial"/>
          <w:sz w:val="18"/>
          <w:szCs w:val="18"/>
        </w:rPr>
        <w:t>mmp</w:t>
      </w:r>
      <w:proofErr w:type="spellEnd"/>
      <w:r w:rsidRPr="007025F4">
        <w:rPr>
          <w:rFonts w:ascii="Arial" w:hAnsi="Arial" w:cs="Arial"/>
          <w:sz w:val="18"/>
          <w:szCs w:val="18"/>
        </w:rPr>
        <w:t xml:space="preserve"> al aprobado para 2021, resultado de mayores participaciones a las entidades federativas en 18.9 </w:t>
      </w:r>
      <w:proofErr w:type="spellStart"/>
      <w:r w:rsidRPr="007025F4">
        <w:rPr>
          <w:rFonts w:ascii="Arial" w:hAnsi="Arial" w:cs="Arial"/>
          <w:sz w:val="18"/>
          <w:szCs w:val="18"/>
        </w:rPr>
        <w:t>mmp</w:t>
      </w:r>
      <w:proofErr w:type="spellEnd"/>
      <w:r w:rsidRPr="007025F4">
        <w:rPr>
          <w:rFonts w:ascii="Arial" w:hAnsi="Arial" w:cs="Arial"/>
          <w:sz w:val="18"/>
          <w:szCs w:val="18"/>
        </w:rPr>
        <w:t xml:space="preserve">, debido a una recaudación superior a la prevista y en línea con la recuperación económica; un menor pago de </w:t>
      </w:r>
      <w:proofErr w:type="spellStart"/>
      <w:r w:rsidRPr="007025F4">
        <w:rPr>
          <w:rFonts w:ascii="Arial" w:hAnsi="Arial" w:cs="Arial"/>
          <w:sz w:val="18"/>
          <w:szCs w:val="18"/>
        </w:rPr>
        <w:t>Adefas</w:t>
      </w:r>
      <w:proofErr w:type="spellEnd"/>
      <w:r w:rsidRPr="007025F4">
        <w:rPr>
          <w:rFonts w:ascii="Arial" w:hAnsi="Arial" w:cs="Arial"/>
          <w:sz w:val="18"/>
          <w:szCs w:val="18"/>
        </w:rPr>
        <w:t xml:space="preserve"> por 12.1 </w:t>
      </w:r>
      <w:proofErr w:type="spellStart"/>
      <w:r w:rsidRPr="007025F4">
        <w:rPr>
          <w:rFonts w:ascii="Arial" w:hAnsi="Arial" w:cs="Arial"/>
          <w:sz w:val="18"/>
          <w:szCs w:val="18"/>
        </w:rPr>
        <w:t>mmp</w:t>
      </w:r>
      <w:proofErr w:type="spellEnd"/>
      <w:r w:rsidRPr="007025F4">
        <w:rPr>
          <w:rFonts w:ascii="Arial" w:hAnsi="Arial" w:cs="Arial"/>
          <w:sz w:val="18"/>
          <w:szCs w:val="18"/>
        </w:rPr>
        <w:t xml:space="preserve">, resultado de actualizar el monto estimado al momento de elaborar el Paquete Económico 2021 con el dato de los diferimientos de pagos efectivamente registrados al cierre de 2020; y un menor costo financiero en 5.9 </w:t>
      </w:r>
      <w:proofErr w:type="spellStart"/>
      <w:r w:rsidRPr="007025F4">
        <w:rPr>
          <w:rFonts w:ascii="Arial" w:hAnsi="Arial" w:cs="Arial"/>
          <w:sz w:val="18"/>
          <w:szCs w:val="18"/>
        </w:rPr>
        <w:t>mmp</w:t>
      </w:r>
      <w:proofErr w:type="spellEnd"/>
      <w:r w:rsidRPr="007025F4">
        <w:rPr>
          <w:rFonts w:ascii="Arial" w:hAnsi="Arial" w:cs="Arial"/>
          <w:sz w:val="18"/>
          <w:szCs w:val="18"/>
        </w:rPr>
        <w:t>, asociado a menores tasas de interés y a un tipo de cambio más apreciado al previsto originalmente.</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748C9" w:rsidRPr="002748C9" w:rsidRDefault="002748C9" w:rsidP="002748C9">
      <w:pPr>
        <w:tabs>
          <w:tab w:val="left" w:pos="284"/>
        </w:tabs>
        <w:ind w:left="284"/>
        <w:jc w:val="center"/>
        <w:rPr>
          <w:rFonts w:ascii="Arial" w:hAnsi="Arial" w:cs="Arial"/>
          <w:sz w:val="18"/>
          <w:szCs w:val="18"/>
        </w:rPr>
      </w:pPr>
      <w:r w:rsidRPr="002748C9">
        <w:rPr>
          <w:rFonts w:ascii="Arial" w:hAnsi="Arial" w:cs="Arial"/>
          <w:noProof/>
          <w:sz w:val="18"/>
          <w:szCs w:val="18"/>
          <w:lang w:eastAsia="es-MX"/>
        </w:rPr>
        <w:lastRenderedPageBreak/>
        <w:drawing>
          <wp:inline distT="0" distB="0" distL="0" distR="0">
            <wp:extent cx="3433150" cy="461453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3442971" cy="4627731"/>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w:t>
      </w:r>
      <w:proofErr w:type="spellStart"/>
      <w:r w:rsidRPr="002748C9">
        <w:rPr>
          <w:rFonts w:ascii="Arial" w:hAnsi="Arial" w:cs="Arial"/>
          <w:sz w:val="18"/>
          <w:szCs w:val="18"/>
        </w:rPr>
        <w:t>mdd</w:t>
      </w:r>
      <w:proofErr w:type="spellEnd"/>
      <w:r w:rsidRPr="002748C9">
        <w:rPr>
          <w:rFonts w:ascii="Arial" w:hAnsi="Arial" w:cs="Arial"/>
          <w:sz w:val="18"/>
          <w:szCs w:val="18"/>
        </w:rPr>
        <w:t>) equivalentes al 1% del total de flujos captados por el país de acuerdo a la Secretaría de Economía al Segundo Trimestre de 2020, la entidad pasó a ocupar la posición 28 como receptor de inversión externa en el país.</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Al mes de marzo de 2021 la tasa de ocupación reflejó una participación del 1.1 % al total nacional, representando un incremento de 3,764 puestos de trabajo respecto a diciembre de 2020. Al mes de marzo de 2021, se tienen registrados 102,821 trabajadores asegurados en el IMSS, tal y como se muestra en los siguientes cuadros:</w:t>
      </w:r>
    </w:p>
    <w:p w:rsidR="002748C9" w:rsidRPr="002748C9" w:rsidRDefault="002748C9" w:rsidP="00EC1988">
      <w:pPr>
        <w:tabs>
          <w:tab w:val="left" w:pos="284"/>
        </w:tabs>
        <w:ind w:left="284"/>
        <w:jc w:val="center"/>
        <w:rPr>
          <w:rFonts w:ascii="Arial" w:hAnsi="Arial" w:cs="Arial"/>
          <w:sz w:val="18"/>
          <w:szCs w:val="18"/>
        </w:rPr>
      </w:pPr>
      <w:r w:rsidRPr="002748C9">
        <w:rPr>
          <w:rFonts w:ascii="Arial" w:hAnsi="Arial" w:cs="Arial"/>
          <w:noProof/>
          <w:sz w:val="18"/>
          <w:szCs w:val="18"/>
          <w:lang w:eastAsia="es-MX"/>
        </w:rPr>
        <w:drawing>
          <wp:inline distT="0" distB="0" distL="0" distR="0">
            <wp:extent cx="6654735" cy="28282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8425" t="28752" r="21524" b="16495"/>
                    <a:stretch>
                      <a:fillRect/>
                    </a:stretch>
                  </pic:blipFill>
                  <pic:spPr bwMode="auto">
                    <a:xfrm>
                      <a:off x="0" y="0"/>
                      <a:ext cx="6697076" cy="2846256"/>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lastRenderedPageBreak/>
        <w:drawing>
          <wp:inline distT="0" distB="0" distL="0" distR="0">
            <wp:extent cx="8612505" cy="6017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8846" t="21240" r="21802" b="5000"/>
                    <a:stretch>
                      <a:fillRect/>
                    </a:stretch>
                  </pic:blipFill>
                  <pic:spPr bwMode="auto">
                    <a:xfrm>
                      <a:off x="0" y="0"/>
                      <a:ext cx="8612505" cy="6017895"/>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De acuerdo al Directorio Estadístico Nacional de Unidades Económicas, Tlaxcala cuenta con 82,542 Unidades Económicas, lo que representa el 1 % del total nacional. Al cuarto trimestre de 2020 la Población Económicamente Activa (PEA) ascendió a 612,523 personas, representando el 60 % de la población en edad de trabajar. Del Total de la PEA, el 94 % está ocupada y el 6 % se encuentra desocupada.</w:t>
      </w:r>
    </w:p>
    <w:p w:rsid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drawing>
          <wp:inline distT="0" distB="0" distL="0" distR="0">
            <wp:extent cx="6889750" cy="4263390"/>
            <wp:effectExtent l="0" t="0" r="635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8349" t="23274" r="24779" b="5095"/>
                    <a:stretch>
                      <a:fillRect/>
                    </a:stretch>
                  </pic:blipFill>
                  <pic:spPr bwMode="auto">
                    <a:xfrm>
                      <a:off x="0" y="0"/>
                      <a:ext cx="6889750" cy="4263390"/>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w:drawing>
          <wp:inline distT="0" distB="0" distL="0" distR="0">
            <wp:extent cx="8526780" cy="459326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6320" t="16788" r="3461" b="6474"/>
                    <a:stretch>
                      <a:fillRect/>
                    </a:stretch>
                  </pic:blipFill>
                  <pic:spPr bwMode="auto">
                    <a:xfrm>
                      <a:off x="0" y="0"/>
                      <a:ext cx="8561851" cy="4612157"/>
                    </a:xfrm>
                    <a:prstGeom prst="rect">
                      <a:avLst/>
                    </a:prstGeom>
                    <a:noFill/>
                    <a:ln>
                      <a:noFill/>
                    </a:ln>
                  </pic:spPr>
                </pic:pic>
              </a:graphicData>
            </a:graphic>
          </wp:inline>
        </w:drawing>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902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748C9">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2748C9" w:rsidRPr="002748C9" w:rsidRDefault="002748C9" w:rsidP="002748C9">
      <w:pPr>
        <w:tabs>
          <w:tab w:val="left" w:pos="284"/>
        </w:tabs>
        <w:ind w:left="284"/>
        <w:jc w:val="both"/>
        <w:rPr>
          <w:rFonts w:ascii="Arial" w:hAnsi="Arial" w:cs="Arial"/>
          <w:sz w:val="18"/>
          <w:szCs w:val="18"/>
        </w:rPr>
      </w:pPr>
      <w:r w:rsidRPr="002748C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w:t>
      </w:r>
      <w:r w:rsidRPr="0073056A">
        <w:rPr>
          <w:rFonts w:ascii="Arial" w:hAnsi="Arial" w:cs="Arial"/>
          <w:sz w:val="18"/>
          <w:szCs w:val="18"/>
        </w:rPr>
        <w:lastRenderedPageBreak/>
        <w:t>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514F6" w:rsidRDefault="00E514F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514F6" w:rsidRDefault="00E514F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514F6" w:rsidRDefault="00E514F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514F6" w:rsidRDefault="00E514F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514F6" w:rsidRDefault="00E514F6">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514F6" w:rsidRDefault="00E514F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514F6" w:rsidRDefault="00E514F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8B4" w:rsidRDefault="00E348B4" w:rsidP="00EA5418">
      <w:pPr>
        <w:spacing w:after="0" w:line="240" w:lineRule="auto"/>
      </w:pPr>
      <w:r>
        <w:separator/>
      </w:r>
    </w:p>
  </w:endnote>
  <w:endnote w:type="continuationSeparator" w:id="0">
    <w:p w:rsidR="00E348B4" w:rsidRDefault="00E348B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4E3EA4" w:rsidRDefault="00E514F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32F7A" w:rsidRPr="00832F7A">
          <w:rPr>
            <w:rFonts w:ascii="Arial" w:hAnsi="Arial" w:cs="Arial"/>
            <w:noProof/>
            <w:sz w:val="20"/>
            <w:lang w:val="es-ES"/>
          </w:rPr>
          <w:t>20</w:t>
        </w:r>
        <w:r w:rsidRPr="004E3EA4">
          <w:rPr>
            <w:rFonts w:ascii="Arial" w:hAnsi="Arial" w:cs="Arial"/>
            <w:sz w:val="20"/>
          </w:rPr>
          <w:fldChar w:fldCharType="end"/>
        </w:r>
      </w:sdtContent>
    </w:sdt>
  </w:p>
  <w:p w:rsidR="00E514F6" w:rsidRDefault="00E514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3527CD" w:rsidRDefault="00E514F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32F7A" w:rsidRPr="00832F7A">
          <w:rPr>
            <w:rFonts w:ascii="Arial" w:hAnsi="Arial" w:cs="Arial"/>
            <w:noProof/>
            <w:lang w:val="es-ES"/>
          </w:rPr>
          <w:t>21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8B4" w:rsidRDefault="00E348B4" w:rsidP="00EA5418">
      <w:pPr>
        <w:spacing w:after="0" w:line="240" w:lineRule="auto"/>
      </w:pPr>
      <w:r>
        <w:separator/>
      </w:r>
    </w:p>
  </w:footnote>
  <w:footnote w:type="continuationSeparator" w:id="0">
    <w:p w:rsidR="00E348B4" w:rsidRDefault="00E348B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Default="00710E6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5619750</wp:posOffset>
              </wp:positionH>
              <wp:positionV relativeFrom="paragraph">
                <wp:posOffset>-363855</wp:posOffset>
              </wp:positionV>
              <wp:extent cx="1096646" cy="680720"/>
              <wp:effectExtent l="0" t="0" r="8255"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646" cy="680720"/>
                        <a:chOff x="0" y="0"/>
                        <a:chExt cx="8751"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62" y="642"/>
                          <a:ext cx="8389" cy="2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4F6" w:rsidRPr="00DE4269" w:rsidRDefault="00E514F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2" style="position:absolute;left:0;text-align:left;margin-left:442.5pt;margin-top:-28.65pt;width:86.35pt;height:53.6pt;z-index:251669504" coordsize="8751,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dCOT1XQQAAJIK&#10;AAAOAAAAAAAAAAAAAAAAADwCAABkcnMvZTJvRG9jLnhtbFBLAQItABQABgAIAAAAIQBYYLMbugAA&#10;ACIBAAAZAAAAAAAAAAAAAAAAAMUGAABkcnMvX3JlbHMvZTJvRG9jLnhtbC5yZWxzUEsBAi0AFAAG&#10;AAgAAAAhACePPsL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104" type="#_x0000_t202" style="position:absolute;left:362;top:642;width:8389;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514F6" w:rsidRPr="00DE4269" w:rsidRDefault="00E514F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1981200</wp:posOffset>
              </wp:positionH>
              <wp:positionV relativeFrom="paragraph">
                <wp:posOffset>-297180</wp:posOffset>
              </wp:positionV>
              <wp:extent cx="3648075" cy="5715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4F6" w:rsidRDefault="00E514F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514F6" w:rsidRDefault="00E514F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514F6" w:rsidRPr="00275FC6" w:rsidRDefault="00E514F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3AC2" id="Cuadro de texto 5" o:spid="_x0000_s1105" type="#_x0000_t202" style="position:absolute;left:0;text-align:left;margin-left:156pt;margin-top:-23.4pt;width:287.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" filled="f" stroked="f">
              <v:textbox>
                <w:txbxContent>
                  <w:p w:rsidR="00E514F6" w:rsidRDefault="00E514F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514F6" w:rsidRDefault="00E514F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514F6" w:rsidRPr="00275FC6" w:rsidRDefault="00E514F6" w:rsidP="00040466">
                    <w:pPr>
                      <w:jc w:val="right"/>
                      <w:rPr>
                        <w:rFonts w:ascii="Soberana Titular" w:hAnsi="Soberana Titular" w:cs="Arial"/>
                        <w:color w:val="808080" w:themeColor="background1" w:themeShade="80"/>
                        <w:sz w:val="20"/>
                        <w:szCs w:val="20"/>
                      </w:rPr>
                    </w:pPr>
                  </w:p>
                </w:txbxContent>
              </v:textbox>
            </v:shape>
          </w:pict>
        </mc:Fallback>
      </mc:AlternateContent>
    </w:r>
    <w:r w:rsidR="00E514F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4F6" w:rsidRPr="003527CD" w:rsidRDefault="00E514F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8099F"/>
    <w:rsid w:val="00080D6B"/>
    <w:rsid w:val="00084D46"/>
    <w:rsid w:val="000872D9"/>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167FD"/>
    <w:rsid w:val="004213BC"/>
    <w:rsid w:val="00424251"/>
    <w:rsid w:val="004306DA"/>
    <w:rsid w:val="004311BE"/>
    <w:rsid w:val="004373B9"/>
    <w:rsid w:val="00437809"/>
    <w:rsid w:val="00441E7C"/>
    <w:rsid w:val="0044253C"/>
    <w:rsid w:val="004466A7"/>
    <w:rsid w:val="00451963"/>
    <w:rsid w:val="00454129"/>
    <w:rsid w:val="00454250"/>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97"/>
    <w:rsid w:val="00545527"/>
    <w:rsid w:val="00550363"/>
    <w:rsid w:val="00551999"/>
    <w:rsid w:val="00553CB3"/>
    <w:rsid w:val="00556D2F"/>
    <w:rsid w:val="00556DC7"/>
    <w:rsid w:val="0056081A"/>
    <w:rsid w:val="00562D1C"/>
    <w:rsid w:val="00563458"/>
    <w:rsid w:val="00565576"/>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431B"/>
    <w:rsid w:val="00707693"/>
    <w:rsid w:val="007103D4"/>
    <w:rsid w:val="00710E65"/>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73A"/>
    <w:rsid w:val="00C53B18"/>
    <w:rsid w:val="00C55BBF"/>
    <w:rsid w:val="00C55F01"/>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48B4"/>
    <w:rsid w:val="00E37034"/>
    <w:rsid w:val="00E37782"/>
    <w:rsid w:val="00E44022"/>
    <w:rsid w:val="00E442EC"/>
    <w:rsid w:val="00E505EF"/>
    <w:rsid w:val="00E514F6"/>
    <w:rsid w:val="00E545B2"/>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E57DB-D822-4131-8EFF-D45C5532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10406</Words>
  <Characters>57233</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2021-04-30T15:00:00Z</dcterms:created>
  <dcterms:modified xsi:type="dcterms:W3CDTF">2021-04-30T15:00:00Z</dcterms:modified>
</cp:coreProperties>
</file>