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5ED25" w14:textId="77777777" w:rsidR="00075F11" w:rsidRDefault="00075F11" w:rsidP="00075F11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14:paraId="008995FE" w14:textId="77777777" w:rsidR="005F103E" w:rsidRDefault="005F103E" w:rsidP="005F10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Gobierno del Estado a través del</w:t>
      </w:r>
      <w:r w:rsidRPr="002D3FE8">
        <w:rPr>
          <w:rFonts w:ascii="Arial" w:hAnsi="Arial" w:cs="Arial"/>
          <w:sz w:val="18"/>
          <w:szCs w:val="18"/>
        </w:rPr>
        <w:t xml:space="preserve"> Fondo Macro para el Desarrollo Integral de Tlaxcala</w:t>
      </w:r>
      <w:r>
        <w:rPr>
          <w:rFonts w:ascii="Arial" w:hAnsi="Arial" w:cs="Arial"/>
          <w:sz w:val="18"/>
          <w:szCs w:val="18"/>
        </w:rPr>
        <w:t xml:space="preserve"> “FOMTLAX”,</w:t>
      </w:r>
      <w:r w:rsidRPr="002D3F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apoya a</w:t>
      </w:r>
      <w:r w:rsidRPr="002D3FE8">
        <w:rPr>
          <w:rFonts w:ascii="Arial" w:hAnsi="Arial" w:cs="Arial"/>
          <w:sz w:val="18"/>
          <w:szCs w:val="18"/>
        </w:rPr>
        <w:t xml:space="preserve">l desarrollo </w:t>
      </w:r>
      <w:proofErr w:type="gramStart"/>
      <w:r w:rsidRPr="002D3FE8">
        <w:rPr>
          <w:rFonts w:ascii="Arial" w:hAnsi="Arial" w:cs="Arial"/>
          <w:sz w:val="18"/>
          <w:szCs w:val="18"/>
        </w:rPr>
        <w:t>de las micro</w:t>
      </w:r>
      <w:proofErr w:type="gramEnd"/>
      <w:r w:rsidRPr="002D3FE8">
        <w:rPr>
          <w:rFonts w:ascii="Arial" w:hAnsi="Arial" w:cs="Arial"/>
          <w:sz w:val="18"/>
          <w:szCs w:val="18"/>
        </w:rPr>
        <w:t xml:space="preserve"> y pequeñas empresas </w:t>
      </w:r>
      <w:r>
        <w:rPr>
          <w:rFonts w:ascii="Arial" w:hAnsi="Arial" w:cs="Arial"/>
          <w:sz w:val="18"/>
          <w:szCs w:val="18"/>
        </w:rPr>
        <w:t xml:space="preserve">de los diversos sectores económicos con el otorgamiento de créditos para proyectos productivos, fomentando así el empleo, a </w:t>
      </w:r>
      <w:proofErr w:type="spellStart"/>
      <w:r>
        <w:rPr>
          <w:rFonts w:ascii="Arial" w:hAnsi="Arial" w:cs="Arial"/>
          <w:sz w:val="18"/>
          <w:szCs w:val="18"/>
        </w:rPr>
        <w:t>fín</w:t>
      </w:r>
      <w:proofErr w:type="spellEnd"/>
      <w:r>
        <w:rPr>
          <w:rFonts w:ascii="Arial" w:hAnsi="Arial" w:cs="Arial"/>
          <w:sz w:val="18"/>
          <w:szCs w:val="18"/>
        </w:rPr>
        <w:t xml:space="preserve"> de mejorar el ingreso de las familias tlaxcaltecas.</w:t>
      </w:r>
    </w:p>
    <w:p w14:paraId="394BD218" w14:textId="77777777" w:rsidR="005F103E" w:rsidRDefault="005F103E" w:rsidP="005F10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Durante el primer trimestre del año, derivado de la contingencia sanitaria causada por el COVID-19, </w:t>
      </w:r>
      <w:proofErr w:type="spellStart"/>
      <w:r>
        <w:rPr>
          <w:rFonts w:ascii="Arial" w:hAnsi="Arial" w:cs="Arial"/>
          <w:sz w:val="18"/>
          <w:szCs w:val="18"/>
        </w:rPr>
        <w:t>fué</w:t>
      </w:r>
      <w:proofErr w:type="spellEnd"/>
      <w:r>
        <w:rPr>
          <w:rFonts w:ascii="Arial" w:hAnsi="Arial" w:cs="Arial"/>
          <w:sz w:val="18"/>
          <w:szCs w:val="18"/>
        </w:rPr>
        <w:t xml:space="preserve"> interés del Ejecutivo Estatal, intensificar la promoción del Programa de Financiamiento de Proyectos Productivos y del Programa “Mujer </w:t>
      </w:r>
      <w:proofErr w:type="spellStart"/>
      <w:r>
        <w:rPr>
          <w:rFonts w:ascii="Arial" w:hAnsi="Arial" w:cs="Arial"/>
          <w:sz w:val="18"/>
          <w:szCs w:val="18"/>
        </w:rPr>
        <w:t>Fomtlax</w:t>
      </w:r>
      <w:proofErr w:type="spellEnd"/>
      <w:r>
        <w:rPr>
          <w:rFonts w:ascii="Arial" w:hAnsi="Arial" w:cs="Arial"/>
          <w:sz w:val="18"/>
          <w:szCs w:val="18"/>
        </w:rPr>
        <w:t>”, con la finalidad de proteger el empleo en las unidades productivas. Esta actividad se llevó a cabo a través de los medios digitales, disminuyendo las visitas a los municipios.</w:t>
      </w:r>
    </w:p>
    <w:p w14:paraId="2CC7ABA0" w14:textId="77777777" w:rsidR="005F103E" w:rsidRDefault="005F103E" w:rsidP="005F10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enero al mes de marzo, se brindó orientación a 230 personas interesadas en obtener un crédito, recibiéndose 195 solicitudes que se concretaron en igual número de créditos entregados, lo que representó un monto superior a los 5.4 MDP. Lo anterior aprobado en seis sesiones </w:t>
      </w:r>
      <w:proofErr w:type="gramStart"/>
      <w:r>
        <w:rPr>
          <w:rFonts w:ascii="Arial" w:hAnsi="Arial" w:cs="Arial"/>
          <w:sz w:val="18"/>
          <w:szCs w:val="18"/>
        </w:rPr>
        <w:t>ordinarias</w:t>
      </w:r>
      <w:proofErr w:type="gramEnd"/>
      <w:r>
        <w:rPr>
          <w:rFonts w:ascii="Arial" w:hAnsi="Arial" w:cs="Arial"/>
          <w:sz w:val="18"/>
          <w:szCs w:val="18"/>
        </w:rPr>
        <w:t xml:space="preserve"> del Comité de Crédito Interno de este Organismo. El Gobernador del Estado Mtro. Marco Antonio Mena Rodríguez, llevó a cabo la entrega de estos créditos para respaldar a pequeños negocios y emprendedores locales.</w:t>
      </w:r>
      <w:bookmarkStart w:id="0" w:name="_GoBack"/>
      <w:bookmarkEnd w:id="0"/>
    </w:p>
    <w:p w14:paraId="030FF451" w14:textId="77777777" w:rsidR="005F103E" w:rsidRDefault="005F103E" w:rsidP="005F10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llevó a cabo la primera sesión del Consejo de Administración del “FOMTLAX”, en el marco de la cual se presentaron los resultados del Programa Operativo Anual 2020 y las metas a alcanzar para el ejercicio 2021. </w:t>
      </w:r>
    </w:p>
    <w:p w14:paraId="161C7D14" w14:textId="77777777" w:rsidR="005F103E" w:rsidRPr="00802DD5" w:rsidRDefault="005F103E" w:rsidP="005F103E">
      <w:p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signó </w:t>
      </w:r>
      <w:r w:rsidRPr="00802DD5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z w:val="18"/>
          <w:szCs w:val="18"/>
        </w:rPr>
        <w:t>C</w:t>
      </w:r>
      <w:r w:rsidRPr="00802DD5">
        <w:rPr>
          <w:rFonts w:ascii="Arial" w:hAnsi="Arial" w:cs="Arial"/>
          <w:sz w:val="18"/>
          <w:szCs w:val="18"/>
        </w:rPr>
        <w:t xml:space="preserve">onvenio </w:t>
      </w:r>
      <w:r>
        <w:rPr>
          <w:rFonts w:ascii="Arial" w:hAnsi="Arial" w:cs="Arial"/>
          <w:sz w:val="18"/>
          <w:szCs w:val="18"/>
        </w:rPr>
        <w:t xml:space="preserve">de Colaboración </w:t>
      </w:r>
      <w:r w:rsidRPr="00802DD5">
        <w:rPr>
          <w:rFonts w:ascii="Arial" w:hAnsi="Arial" w:cs="Arial"/>
          <w:sz w:val="18"/>
          <w:szCs w:val="18"/>
        </w:rPr>
        <w:t xml:space="preserve">entre el Fondo Macro para el Desarrollo Integral de Tlaxcala </w:t>
      </w:r>
      <w:r>
        <w:rPr>
          <w:rFonts w:ascii="Arial" w:hAnsi="Arial" w:cs="Arial"/>
          <w:sz w:val="18"/>
          <w:szCs w:val="18"/>
        </w:rPr>
        <w:t>“</w:t>
      </w:r>
      <w:r w:rsidRPr="00802DD5">
        <w:rPr>
          <w:rFonts w:ascii="Arial" w:hAnsi="Arial" w:cs="Arial"/>
          <w:sz w:val="18"/>
          <w:szCs w:val="18"/>
        </w:rPr>
        <w:t>FOMTLAX</w:t>
      </w:r>
      <w:r>
        <w:rPr>
          <w:rFonts w:ascii="Arial" w:hAnsi="Arial" w:cs="Arial"/>
          <w:sz w:val="18"/>
          <w:szCs w:val="18"/>
        </w:rPr>
        <w:t xml:space="preserve">” </w:t>
      </w:r>
      <w:r w:rsidRPr="00802DD5">
        <w:rPr>
          <w:rFonts w:ascii="Arial" w:hAnsi="Arial" w:cs="Arial"/>
          <w:sz w:val="18"/>
          <w:szCs w:val="18"/>
        </w:rPr>
        <w:t xml:space="preserve">y el Ayuntamiento de Tlaxcala, con el objetivo de beneficiar a través del Programa “Mujer </w:t>
      </w:r>
      <w:proofErr w:type="spellStart"/>
      <w:r w:rsidRPr="00802DD5">
        <w:rPr>
          <w:rFonts w:ascii="Arial" w:hAnsi="Arial" w:cs="Arial"/>
          <w:sz w:val="18"/>
          <w:szCs w:val="18"/>
        </w:rPr>
        <w:t>Fomtlax</w:t>
      </w:r>
      <w:proofErr w:type="spellEnd"/>
      <w:r w:rsidRPr="00802DD5">
        <w:rPr>
          <w:rFonts w:ascii="Arial" w:hAnsi="Arial" w:cs="Arial"/>
          <w:sz w:val="18"/>
          <w:szCs w:val="18"/>
        </w:rPr>
        <w:t xml:space="preserve">” a las mujeres emprendedoras </w:t>
      </w:r>
      <w:r>
        <w:rPr>
          <w:rFonts w:ascii="Arial" w:hAnsi="Arial" w:cs="Arial"/>
          <w:sz w:val="18"/>
          <w:szCs w:val="18"/>
        </w:rPr>
        <w:t>de esta jurisdicción municipal</w:t>
      </w:r>
      <w:r w:rsidRPr="00802DD5">
        <w:rPr>
          <w:rFonts w:ascii="Arial" w:hAnsi="Arial" w:cs="Arial"/>
          <w:sz w:val="18"/>
          <w:szCs w:val="18"/>
        </w:rPr>
        <w:t>.</w:t>
      </w:r>
    </w:p>
    <w:p w14:paraId="5DF71DD7" w14:textId="77777777" w:rsidR="005F103E" w:rsidRDefault="005F103E" w:rsidP="005F1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Por lo que refiere a la recuperación de la cartera, durante el primer trimestre del año se continuó con las diversas acciones de tratamientos de cartera, a solicitud de acreditados, ya que, por la contingencia sanitaria, no se realizaron visitas domiciliarias, sin embargo, se recibieron pagos en la caja del Fondo y en la institución bancaria correspondiente, logrando un monto de recuperación superior a </w:t>
      </w:r>
      <w:r w:rsidRPr="00F60499">
        <w:rPr>
          <w:rFonts w:ascii="Arial" w:hAnsi="Arial" w:cs="Arial"/>
          <w:sz w:val="18"/>
          <w:szCs w:val="18"/>
        </w:rPr>
        <w:t xml:space="preserve">los </w:t>
      </w:r>
      <w:r>
        <w:rPr>
          <w:rFonts w:ascii="Arial" w:hAnsi="Arial" w:cs="Arial"/>
          <w:sz w:val="18"/>
          <w:szCs w:val="18"/>
        </w:rPr>
        <w:t>12.6 MDP</w:t>
      </w:r>
    </w:p>
    <w:p w14:paraId="6C40AD13" w14:textId="77777777" w:rsidR="005F103E" w:rsidRDefault="005F103E" w:rsidP="005F103E">
      <w:pPr>
        <w:pStyle w:val="Prrafodelista"/>
        <w:shd w:val="clear" w:color="auto" w:fill="FFFFFF"/>
        <w:suppressAutoHyphens/>
        <w:spacing w:after="9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B115403" w14:textId="6D4DF6E9"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14:paraId="2DC39A88" w14:textId="77777777" w:rsidR="002D4C8A" w:rsidRDefault="002D4C8A" w:rsidP="002D4C8A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2D0DFEA" w14:textId="33DC8413"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14:paraId="622AF244" w14:textId="77777777"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14:paraId="249D07E0" w14:textId="77777777"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14:paraId="3743E8CD" w14:textId="77777777"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14:paraId="4346E4CD" w14:textId="77777777"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lastRenderedPageBreak/>
        <w:t>Estado de Situación Financiera</w:t>
      </w:r>
    </w:p>
    <w:p w14:paraId="11C46EA2" w14:textId="77777777"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14:paraId="37D4EE61" w14:textId="77777777"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Activo</w:t>
      </w:r>
    </w:p>
    <w:p w14:paraId="7EC9DB8C" w14:textId="77777777"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la Deuda y Otros Pasivos</w:t>
      </w:r>
    </w:p>
    <w:p w14:paraId="20F881AC" w14:textId="77777777"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Variación de la Hacienda Pública</w:t>
      </w:r>
    </w:p>
    <w:p w14:paraId="7893680A" w14:textId="77777777" w:rsidR="00AD791F" w:rsidRPr="00042519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Flujos de Efectivo</w:t>
      </w:r>
    </w:p>
    <w:p w14:paraId="4A0B4F8D" w14:textId="77777777"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Informe de Pasivos Contingentes</w:t>
      </w:r>
    </w:p>
    <w:p w14:paraId="2EF7C13F" w14:textId="77777777"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a los Estados Financieros</w:t>
      </w:r>
    </w:p>
    <w:p w14:paraId="71BD4C60" w14:textId="77777777"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Desglose</w:t>
      </w:r>
    </w:p>
    <w:p w14:paraId="0627EB73" w14:textId="77777777"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Memoria (cuentas de orden)</w:t>
      </w:r>
    </w:p>
    <w:p w14:paraId="448055E5" w14:textId="77777777"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Gestión Administrativa</w:t>
      </w:r>
    </w:p>
    <w:p w14:paraId="0A6C1819" w14:textId="77777777" w:rsidR="00AD791F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14:paraId="1152ADE5" w14:textId="77777777" w:rsidR="005F103E" w:rsidRPr="00B372A2" w:rsidRDefault="005F103E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14:paraId="6FE52BC1" w14:textId="77777777"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14:paraId="45CC7F8D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5146288D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14:paraId="0B8E8B62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14:paraId="7685E020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8F42E4E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1AA1116C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14:paraId="302620B8" w14:textId="77777777"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14:paraId="41C20D6F" w14:textId="77777777" w:rsidR="00AD791F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14:paraId="4C8A25F4" w14:textId="77777777" w:rsidR="00AD791F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BE5D4FA" w14:textId="77777777" w:rsidR="005F103E" w:rsidRPr="00B372A2" w:rsidRDefault="005F103E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6ADED82E" w14:textId="77777777" w:rsidR="00AD791F" w:rsidRPr="0006778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7787">
        <w:rPr>
          <w:rFonts w:ascii="Arial" w:hAnsi="Arial" w:cs="Arial"/>
          <w:b/>
          <w:sz w:val="18"/>
          <w:szCs w:val="18"/>
        </w:rPr>
        <w:t>Información Programática</w:t>
      </w:r>
    </w:p>
    <w:p w14:paraId="0218550D" w14:textId="77777777"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14:paraId="7A837C68" w14:textId="77777777"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14:paraId="214893D4" w14:textId="77777777"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14:paraId="785BE1BC" w14:textId="43A3DBD2" w:rsidR="00AD791F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B2849CC" w14:textId="77777777" w:rsidR="005F103E" w:rsidRPr="00B372A2" w:rsidRDefault="005F103E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7EFF290" w14:textId="77777777"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lastRenderedPageBreak/>
        <w:t>Anexos</w:t>
      </w:r>
    </w:p>
    <w:p w14:paraId="4B397586" w14:textId="77777777" w:rsidR="00AD791F" w:rsidRPr="00B372A2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765E6F37" w14:textId="77777777" w:rsidR="00AD791F" w:rsidRPr="00B372A2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1FDD9382" w14:textId="77777777" w:rsidR="00AD791F" w:rsidRPr="00B372A2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46FD94D" w14:textId="77777777" w:rsidR="004137E3" w:rsidRPr="004137E3" w:rsidRDefault="00AD791F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137E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0698D022" w14:textId="3599756C" w:rsidR="00B43C7F" w:rsidRDefault="00067787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137E3">
        <w:rPr>
          <w:rFonts w:ascii="Arial" w:eastAsia="Times New Roman" w:hAnsi="Arial" w:cs="Arial"/>
          <w:sz w:val="18"/>
          <w:szCs w:val="18"/>
        </w:rPr>
        <w:t xml:space="preserve">Balanza de Comprobación. </w:t>
      </w:r>
    </w:p>
    <w:p w14:paraId="037CD7E4" w14:textId="09F55A1F" w:rsidR="004137E3" w:rsidRPr="004137E3" w:rsidRDefault="004137E3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Auxiliares Contables</w:t>
      </w:r>
    </w:p>
    <w:p w14:paraId="2F755396" w14:textId="69AD801D" w:rsid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B43C7F">
        <w:rPr>
          <w:rFonts w:ascii="Arial" w:eastAsia="Times New Roman" w:hAnsi="Arial" w:cs="Arial"/>
          <w:sz w:val="18"/>
          <w:szCs w:val="18"/>
        </w:rPr>
        <w:t>Relación de Bancos</w:t>
      </w:r>
    </w:p>
    <w:p w14:paraId="431473EA" w14:textId="6BA77CDC" w:rsid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Conciliaciones Bancarias</w:t>
      </w:r>
      <w:r w:rsidR="004137E3">
        <w:rPr>
          <w:rFonts w:ascii="Arial" w:eastAsia="Times New Roman" w:hAnsi="Arial" w:cs="Arial"/>
          <w:sz w:val="18"/>
          <w:szCs w:val="18"/>
        </w:rPr>
        <w:t xml:space="preserve"> y Estados de cuenta Bancaria</w:t>
      </w:r>
    </w:p>
    <w:p w14:paraId="6E6546FC" w14:textId="72FEE6D2" w:rsidR="004137E3" w:rsidRPr="0006778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bookmarkStart w:id="1" w:name="_Hlk36026404"/>
      <w:bookmarkStart w:id="2" w:name="_Hlk36027996"/>
      <w:r w:rsidRPr="00067787">
        <w:rPr>
          <w:rFonts w:ascii="Arial" w:eastAsia="Times New Roman" w:hAnsi="Arial" w:cs="Arial"/>
          <w:sz w:val="18"/>
          <w:szCs w:val="18"/>
        </w:rPr>
        <w:t>Es</w:t>
      </w:r>
      <w:r>
        <w:rPr>
          <w:rFonts w:ascii="Arial" w:eastAsia="Times New Roman" w:hAnsi="Arial" w:cs="Arial"/>
          <w:sz w:val="18"/>
          <w:szCs w:val="18"/>
        </w:rPr>
        <w:t>tado Presupuestario de Ingresos desagregado por concepto</w:t>
      </w:r>
    </w:p>
    <w:bookmarkEnd w:id="1"/>
    <w:p w14:paraId="40BCBD37" w14:textId="23B1B616" w:rsidR="004137E3" w:rsidRPr="0006778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Es</w:t>
      </w:r>
      <w:r>
        <w:rPr>
          <w:rFonts w:ascii="Arial" w:eastAsia="Times New Roman" w:hAnsi="Arial" w:cs="Arial"/>
          <w:sz w:val="18"/>
          <w:szCs w:val="18"/>
        </w:rPr>
        <w:t>tado Presupuestario de Egresos desagregado por partida, del periodo y acumulado</w:t>
      </w:r>
    </w:p>
    <w:p w14:paraId="05E3266E" w14:textId="456C7D4F" w:rsidR="004137E3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Avance del Programa Operativo Anual</w:t>
      </w:r>
    </w:p>
    <w:p w14:paraId="6E1007DA" w14:textId="566745EA" w:rsidR="004137E3" w:rsidRPr="0006778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Inventario de Bienes Muebles, Inmuebles e Intangibles, clasificado y cuantificado</w:t>
      </w:r>
    </w:p>
    <w:p w14:paraId="3AE65CA4" w14:textId="161843F4" w:rsidR="00067787" w:rsidRPr="004137E3" w:rsidRDefault="00067787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Ingresos Trimestral</w:t>
      </w:r>
    </w:p>
    <w:p w14:paraId="327CD9CB" w14:textId="77777777" w:rsid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Egresos Trimestral</w:t>
      </w:r>
    </w:p>
    <w:p w14:paraId="1BD1E286" w14:textId="7D410FD6" w:rsidR="00067787" w:rsidRPr="0006778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Plantilla de Personal</w:t>
      </w:r>
      <w:r w:rsidR="004137E3">
        <w:rPr>
          <w:rFonts w:ascii="Arial" w:eastAsia="Times New Roman" w:hAnsi="Arial" w:cs="Arial"/>
          <w:sz w:val="18"/>
          <w:szCs w:val="18"/>
        </w:rPr>
        <w:t xml:space="preserve"> Trimestral</w:t>
      </w:r>
    </w:p>
    <w:p w14:paraId="54DBBEC5" w14:textId="304A314B" w:rsidR="00067787" w:rsidRPr="00067787" w:rsidRDefault="004137E3" w:rsidP="00B43C7F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Libro </w:t>
      </w:r>
      <w:r w:rsidR="00067787" w:rsidRPr="00067787">
        <w:rPr>
          <w:rFonts w:ascii="Arial" w:eastAsia="Times New Roman" w:hAnsi="Arial" w:cs="Arial"/>
          <w:sz w:val="18"/>
          <w:szCs w:val="18"/>
        </w:rPr>
        <w:t>Diario.</w:t>
      </w:r>
    </w:p>
    <w:bookmarkEnd w:id="2"/>
    <w:p w14:paraId="22550C58" w14:textId="77777777" w:rsidR="00EB215E" w:rsidRDefault="00EB215E" w:rsidP="00067787">
      <w:pPr>
        <w:rPr>
          <w:rFonts w:ascii="Arial" w:eastAsia="Times New Roman" w:hAnsi="Arial" w:cs="Arial"/>
          <w:sz w:val="18"/>
          <w:szCs w:val="18"/>
        </w:rPr>
      </w:pPr>
    </w:p>
    <w:p w14:paraId="609D01A2" w14:textId="77777777"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Formatos de Disciplina Financiera</w:t>
      </w:r>
    </w:p>
    <w:p w14:paraId="0254954C" w14:textId="77777777" w:rsidR="00042519" w:rsidRPr="00C762B8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Cs w:val="18"/>
        </w:rPr>
      </w:pPr>
      <w:r w:rsidRPr="00C762B8">
        <w:rPr>
          <w:b/>
          <w:szCs w:val="18"/>
        </w:rPr>
        <w:t xml:space="preserve">Formato 1   </w:t>
      </w:r>
      <w:r w:rsidRPr="00C762B8">
        <w:rPr>
          <w:szCs w:val="18"/>
        </w:rPr>
        <w:t>Estado de Situación Financiera Detallado - LDF</w:t>
      </w:r>
    </w:p>
    <w:p w14:paraId="77AA3568" w14:textId="77777777" w:rsidR="00042519" w:rsidRPr="00C762B8" w:rsidRDefault="00042519" w:rsidP="00C762B8">
      <w:pPr>
        <w:pStyle w:val="Prrafodelista"/>
        <w:numPr>
          <w:ilvl w:val="0"/>
          <w:numId w:val="13"/>
        </w:numPr>
        <w:spacing w:after="0" w:line="240" w:lineRule="auto"/>
        <w:ind w:left="1077" w:hanging="357"/>
        <w:rPr>
          <w:rFonts w:ascii="Arial" w:eastAsia="Times New Roman" w:hAnsi="Arial" w:cs="Arial"/>
          <w:b/>
          <w:sz w:val="18"/>
          <w:szCs w:val="18"/>
        </w:rPr>
      </w:pPr>
      <w:r w:rsidRPr="00C762B8">
        <w:rPr>
          <w:rFonts w:ascii="Arial" w:eastAsia="Times New Roman" w:hAnsi="Arial" w:cs="Arial"/>
          <w:b/>
          <w:sz w:val="18"/>
          <w:szCs w:val="18"/>
        </w:rPr>
        <w:t xml:space="preserve">Formato 2   </w:t>
      </w:r>
      <w:r w:rsidRPr="00C762B8">
        <w:rPr>
          <w:rFonts w:ascii="Arial" w:eastAsia="Times New Roman" w:hAnsi="Arial" w:cs="Arial"/>
          <w:sz w:val="18"/>
          <w:szCs w:val="18"/>
        </w:rPr>
        <w:t>Informe Analítico de la Deuda Pública y Otros Pasivos – LDF</w:t>
      </w:r>
    </w:p>
    <w:p w14:paraId="57DC6EE0" w14:textId="77777777" w:rsidR="00042519" w:rsidRPr="00C762B8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</w:rPr>
      </w:pPr>
      <w:r w:rsidRPr="00C762B8">
        <w:rPr>
          <w:rFonts w:ascii="Arial" w:eastAsia="Times New Roman" w:hAnsi="Arial" w:cs="Arial"/>
          <w:b/>
          <w:sz w:val="18"/>
          <w:szCs w:val="18"/>
        </w:rPr>
        <w:t xml:space="preserve">Formato 3  </w:t>
      </w:r>
      <w:r w:rsidRPr="00C762B8">
        <w:rPr>
          <w:rFonts w:ascii="Arial" w:eastAsia="Times New Roman" w:hAnsi="Arial" w:cs="Arial"/>
          <w:sz w:val="18"/>
          <w:szCs w:val="18"/>
        </w:rPr>
        <w:t xml:space="preserve"> Informe Analítico de Obligaciones Diferentes de Financiamientos – LDF</w:t>
      </w:r>
    </w:p>
    <w:p w14:paraId="2BDF985A" w14:textId="1CAE99C8" w:rsidR="00042519" w:rsidRPr="00C762B8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</w:rPr>
      </w:pPr>
      <w:r w:rsidRPr="00C762B8">
        <w:rPr>
          <w:rFonts w:ascii="Arial" w:eastAsia="Times New Roman" w:hAnsi="Arial" w:cs="Arial"/>
          <w:b/>
          <w:sz w:val="18"/>
          <w:szCs w:val="18"/>
        </w:rPr>
        <w:t>Formato 4</w:t>
      </w:r>
      <w:r w:rsidR="00C762B8" w:rsidRPr="00C762B8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C762B8">
        <w:rPr>
          <w:rFonts w:ascii="Arial" w:eastAsia="Times New Roman" w:hAnsi="Arial" w:cs="Arial"/>
          <w:sz w:val="18"/>
          <w:szCs w:val="18"/>
        </w:rPr>
        <w:t xml:space="preserve"> Balance Presupuestario – LDF</w:t>
      </w:r>
    </w:p>
    <w:p w14:paraId="45324982" w14:textId="66D9F0D5" w:rsidR="00042519" w:rsidRPr="00C762B8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</w:rPr>
      </w:pPr>
      <w:r w:rsidRPr="00C762B8">
        <w:rPr>
          <w:rFonts w:ascii="Arial" w:eastAsia="Times New Roman" w:hAnsi="Arial" w:cs="Arial"/>
          <w:b/>
          <w:sz w:val="18"/>
          <w:szCs w:val="18"/>
        </w:rPr>
        <w:t>Formato 5</w:t>
      </w:r>
      <w:r w:rsidRPr="00C762B8">
        <w:rPr>
          <w:rFonts w:ascii="Arial" w:eastAsia="Times New Roman" w:hAnsi="Arial" w:cs="Arial"/>
          <w:sz w:val="18"/>
          <w:szCs w:val="18"/>
        </w:rPr>
        <w:t xml:space="preserve"> </w:t>
      </w:r>
      <w:r w:rsidR="00C762B8" w:rsidRPr="00C762B8">
        <w:rPr>
          <w:rFonts w:ascii="Arial" w:eastAsia="Times New Roman" w:hAnsi="Arial" w:cs="Arial"/>
          <w:sz w:val="18"/>
          <w:szCs w:val="18"/>
        </w:rPr>
        <w:t xml:space="preserve">  </w:t>
      </w:r>
      <w:r w:rsidRPr="00C762B8">
        <w:rPr>
          <w:rFonts w:ascii="Arial" w:eastAsia="Times New Roman" w:hAnsi="Arial" w:cs="Arial"/>
          <w:sz w:val="18"/>
          <w:szCs w:val="18"/>
        </w:rPr>
        <w:t>Estado Analítico de Ingresos Detallado – LDF</w:t>
      </w:r>
    </w:p>
    <w:p w14:paraId="2F11613C" w14:textId="76D20C64" w:rsidR="00042519" w:rsidRPr="00C762B8" w:rsidRDefault="00042519" w:rsidP="00C762B8">
      <w:pPr>
        <w:pStyle w:val="Texto"/>
        <w:numPr>
          <w:ilvl w:val="0"/>
          <w:numId w:val="13"/>
        </w:numPr>
        <w:spacing w:after="0" w:line="240" w:lineRule="auto"/>
        <w:ind w:left="1077" w:hanging="357"/>
        <w:rPr>
          <w:b/>
          <w:szCs w:val="18"/>
        </w:rPr>
      </w:pPr>
      <w:r w:rsidRPr="00C762B8">
        <w:rPr>
          <w:b/>
          <w:szCs w:val="18"/>
        </w:rPr>
        <w:t xml:space="preserve">Formato 6a </w:t>
      </w:r>
      <w:r w:rsidRPr="00C762B8">
        <w:rPr>
          <w:szCs w:val="18"/>
        </w:rPr>
        <w:t>Estado Analítico del Ejercicio del Presupuesto de Egresos Detallado – LDF (Clasificación por Objeto del Gasto)</w:t>
      </w:r>
    </w:p>
    <w:p w14:paraId="57632CD8" w14:textId="6D784B5B" w:rsidR="00042519" w:rsidRPr="00C762B8" w:rsidRDefault="00042519" w:rsidP="00C762B8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ind w:left="1077" w:hanging="357"/>
        <w:rPr>
          <w:szCs w:val="18"/>
        </w:rPr>
      </w:pPr>
      <w:r w:rsidRPr="00C762B8">
        <w:rPr>
          <w:b/>
          <w:szCs w:val="18"/>
        </w:rPr>
        <w:t xml:space="preserve">Formato 6b </w:t>
      </w:r>
      <w:r w:rsidRPr="00C762B8">
        <w:rPr>
          <w:szCs w:val="18"/>
        </w:rPr>
        <w:t>Estado Analítico del Ejercicio del Presupuesto de Egresos Detallado – LDF (Clasificación Administrativa)</w:t>
      </w:r>
    </w:p>
    <w:p w14:paraId="5AADDB2B" w14:textId="4BC4FAFD" w:rsidR="00042519" w:rsidRPr="00C762B8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Cs w:val="18"/>
        </w:rPr>
      </w:pPr>
      <w:r w:rsidRPr="00C762B8">
        <w:rPr>
          <w:b/>
          <w:szCs w:val="18"/>
        </w:rPr>
        <w:t xml:space="preserve">Formato 6c </w:t>
      </w:r>
      <w:r w:rsidRPr="00C762B8">
        <w:rPr>
          <w:szCs w:val="18"/>
        </w:rPr>
        <w:t>Estado Analítico del Ejercicio del Presupuesto de Egresos Detallado – LDF (Clasificación Funcional)</w:t>
      </w:r>
    </w:p>
    <w:p w14:paraId="447AA41C" w14:textId="77777777" w:rsidR="00042519" w:rsidRPr="00C762B8" w:rsidRDefault="00042519" w:rsidP="00C762B8">
      <w:pPr>
        <w:pStyle w:val="Texto"/>
        <w:numPr>
          <w:ilvl w:val="0"/>
          <w:numId w:val="13"/>
        </w:numPr>
        <w:tabs>
          <w:tab w:val="left" w:pos="1530"/>
        </w:tabs>
        <w:spacing w:line="240" w:lineRule="auto"/>
        <w:ind w:left="1077" w:hanging="357"/>
        <w:rPr>
          <w:szCs w:val="18"/>
        </w:rPr>
      </w:pPr>
      <w:r w:rsidRPr="00C762B8">
        <w:rPr>
          <w:b/>
          <w:szCs w:val="18"/>
        </w:rPr>
        <w:t xml:space="preserve">Formato 6d </w:t>
      </w:r>
      <w:r w:rsidRPr="00C762B8">
        <w:rPr>
          <w:szCs w:val="18"/>
        </w:rPr>
        <w:t>Estado Analítico del Ejercicio del Presupuesto de Egresos Detallado – LDF (Clasificación de Servicios Personales por Categoría)</w:t>
      </w:r>
    </w:p>
    <w:p w14:paraId="30F8B191" w14:textId="0034D06C" w:rsidR="00C762B8" w:rsidRDefault="00C762B8" w:rsidP="00C762B8">
      <w:pPr>
        <w:tabs>
          <w:tab w:val="left" w:pos="1530"/>
        </w:tabs>
        <w:spacing w:after="101" w:line="288" w:lineRule="auto"/>
        <w:ind w:left="1077"/>
        <w:jc w:val="both"/>
        <w:rPr>
          <w:rFonts w:ascii="Arial" w:eastAsia="Times New Roman" w:hAnsi="Arial" w:cs="Times New Roman"/>
          <w:sz w:val="18"/>
          <w:szCs w:val="18"/>
          <w:lang w:eastAsia="hi-IN"/>
        </w:rPr>
      </w:pPr>
      <w:r w:rsidRPr="00C762B8">
        <w:rPr>
          <w:rFonts w:ascii="Arial" w:eastAsia="Times New Roman" w:hAnsi="Arial" w:cs="Times New Roman"/>
          <w:sz w:val="18"/>
          <w:szCs w:val="18"/>
          <w:lang w:eastAsia="hi-IN"/>
        </w:rPr>
        <w:t xml:space="preserve">          </w:t>
      </w:r>
    </w:p>
    <w:p w14:paraId="2FF6B046" w14:textId="77777777" w:rsidR="00042519" w:rsidRPr="00246E58" w:rsidRDefault="00042519" w:rsidP="00042519">
      <w:pPr>
        <w:pStyle w:val="Texto"/>
        <w:tabs>
          <w:tab w:val="left" w:pos="1530"/>
        </w:tabs>
        <w:spacing w:line="240" w:lineRule="auto"/>
        <w:ind w:left="1429" w:firstLine="0"/>
        <w:rPr>
          <w:sz w:val="16"/>
          <w:szCs w:val="16"/>
        </w:rPr>
      </w:pPr>
    </w:p>
    <w:sectPr w:rsidR="00042519" w:rsidRPr="00246E58" w:rsidSect="008B682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A5ABD" w14:textId="77777777" w:rsidR="00AC7243" w:rsidRDefault="00AC7243" w:rsidP="00EA5418">
      <w:pPr>
        <w:spacing w:after="0" w:line="240" w:lineRule="auto"/>
      </w:pPr>
      <w:r>
        <w:separator/>
      </w:r>
    </w:p>
  </w:endnote>
  <w:endnote w:type="continuationSeparator" w:id="0">
    <w:p w14:paraId="73A0B5A2" w14:textId="77777777" w:rsidR="00AC7243" w:rsidRDefault="00AC72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2F44E" w14:textId="5724075D" w:rsidR="0013011C" w:rsidRPr="0013011C" w:rsidRDefault="005F103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0EE057A">
        <v:line id="12 Conector recto" o:spid="_x0000_s2050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Pr="005F103E">
          <w:rPr>
            <w:rFonts w:ascii="Soberana Sans Light" w:hAnsi="Soberana Sans Light"/>
            <w:noProof/>
            <w:lang w:val="es-ES"/>
          </w:rPr>
          <w:t>2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14:paraId="273328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9C3BD" w14:textId="211E9BEB" w:rsidR="008E3652" w:rsidRPr="008E3652" w:rsidRDefault="005F103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54EB97">
        <v:line id="3 Conector recto" o:spid="_x0000_s2049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Pr="005F103E">
          <w:rPr>
            <w:rFonts w:ascii="Soberana Sans Light" w:hAnsi="Soberana Sans Light"/>
            <w:noProof/>
            <w:lang w:val="es-ES"/>
          </w:rPr>
          <w:t>1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B292B" w14:textId="77777777" w:rsidR="00AC7243" w:rsidRDefault="00AC7243" w:rsidP="00EA5418">
      <w:pPr>
        <w:spacing w:after="0" w:line="240" w:lineRule="auto"/>
      </w:pPr>
      <w:r>
        <w:separator/>
      </w:r>
    </w:p>
  </w:footnote>
  <w:footnote w:type="continuationSeparator" w:id="0">
    <w:p w14:paraId="759CF29B" w14:textId="77777777" w:rsidR="00AC7243" w:rsidRDefault="00AC72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D436" w14:textId="77777777" w:rsidR="0013011C" w:rsidRDefault="005F103E">
    <w:pPr>
      <w:pStyle w:val="Encabezado"/>
    </w:pPr>
    <w:r>
      <w:rPr>
        <w:noProof/>
        <w:lang w:eastAsia="es-MX"/>
      </w:rPr>
      <w:pict w14:anchorId="6C5AC7DA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2DEEAA0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CDBF61C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D7D5EEC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B18C86A" w14:textId="07DC776E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81D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20CD47A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7E428D8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1B1DECB">
        <v:line id="4 Conector recto" o:spid="_x0000_s2052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D78E" w14:textId="77777777" w:rsidR="008E3652" w:rsidRPr="0013011C" w:rsidRDefault="005F103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FBD0177">
        <v:line id="1 Conector recto" o:spid="_x0000_s2051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797"/>
    <w:multiLevelType w:val="hybridMultilevel"/>
    <w:tmpl w:val="59965ED4"/>
    <w:lvl w:ilvl="0" w:tplc="FC307E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79C1244"/>
    <w:multiLevelType w:val="hybridMultilevel"/>
    <w:tmpl w:val="CB18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54250FA"/>
    <w:multiLevelType w:val="hybridMultilevel"/>
    <w:tmpl w:val="BA085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D969E5"/>
    <w:multiLevelType w:val="hybridMultilevel"/>
    <w:tmpl w:val="476683BC"/>
    <w:lvl w:ilvl="0" w:tplc="1090D7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70458"/>
    <w:multiLevelType w:val="hybridMultilevel"/>
    <w:tmpl w:val="CAD87ED8"/>
    <w:lvl w:ilvl="0" w:tplc="1090D70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F52FB6"/>
    <w:multiLevelType w:val="hybridMultilevel"/>
    <w:tmpl w:val="40B243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E24FE"/>
    <w:multiLevelType w:val="hybridMultilevel"/>
    <w:tmpl w:val="6EFEA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16FB0"/>
    <w:multiLevelType w:val="hybridMultilevel"/>
    <w:tmpl w:val="B336B5E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397A51"/>
    <w:multiLevelType w:val="hybridMultilevel"/>
    <w:tmpl w:val="AB9C07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21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11"/>
  </w:num>
  <w:num w:numId="14">
    <w:abstractNumId w:val="14"/>
  </w:num>
  <w:num w:numId="15">
    <w:abstractNumId w:val="17"/>
  </w:num>
  <w:num w:numId="16">
    <w:abstractNumId w:val="12"/>
  </w:num>
  <w:num w:numId="17">
    <w:abstractNumId w:val="20"/>
  </w:num>
  <w:num w:numId="18">
    <w:abstractNumId w:val="1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2519"/>
    <w:rsid w:val="000454EA"/>
    <w:rsid w:val="00056042"/>
    <w:rsid w:val="00067787"/>
    <w:rsid w:val="00075F11"/>
    <w:rsid w:val="00076A56"/>
    <w:rsid w:val="00081D79"/>
    <w:rsid w:val="000B3FD4"/>
    <w:rsid w:val="000F6D16"/>
    <w:rsid w:val="00101C5D"/>
    <w:rsid w:val="001137E3"/>
    <w:rsid w:val="0013011C"/>
    <w:rsid w:val="00146E12"/>
    <w:rsid w:val="001646D9"/>
    <w:rsid w:val="00174F20"/>
    <w:rsid w:val="00183FBE"/>
    <w:rsid w:val="00196D0F"/>
    <w:rsid w:val="001A2431"/>
    <w:rsid w:val="001B1B72"/>
    <w:rsid w:val="001F7AA6"/>
    <w:rsid w:val="0020797E"/>
    <w:rsid w:val="002549E7"/>
    <w:rsid w:val="002865A7"/>
    <w:rsid w:val="002A6835"/>
    <w:rsid w:val="002A70B3"/>
    <w:rsid w:val="002D4C8A"/>
    <w:rsid w:val="002E06B4"/>
    <w:rsid w:val="002E5897"/>
    <w:rsid w:val="002F2773"/>
    <w:rsid w:val="00307635"/>
    <w:rsid w:val="0032095C"/>
    <w:rsid w:val="00322A09"/>
    <w:rsid w:val="00355821"/>
    <w:rsid w:val="003575A4"/>
    <w:rsid w:val="003610E0"/>
    <w:rsid w:val="00372F40"/>
    <w:rsid w:val="003D5DBF"/>
    <w:rsid w:val="003E7FD0"/>
    <w:rsid w:val="003F05C2"/>
    <w:rsid w:val="004137E3"/>
    <w:rsid w:val="0044253C"/>
    <w:rsid w:val="00486AE1"/>
    <w:rsid w:val="00497D8B"/>
    <w:rsid w:val="004D0129"/>
    <w:rsid w:val="004D41B8"/>
    <w:rsid w:val="00502D8E"/>
    <w:rsid w:val="005117F4"/>
    <w:rsid w:val="00522632"/>
    <w:rsid w:val="00531310"/>
    <w:rsid w:val="00534982"/>
    <w:rsid w:val="00537B1A"/>
    <w:rsid w:val="00540418"/>
    <w:rsid w:val="00582405"/>
    <w:rsid w:val="005852BC"/>
    <w:rsid w:val="005859FA"/>
    <w:rsid w:val="00597742"/>
    <w:rsid w:val="005E2EB5"/>
    <w:rsid w:val="005F103E"/>
    <w:rsid w:val="005F7589"/>
    <w:rsid w:val="006048D2"/>
    <w:rsid w:val="00611E39"/>
    <w:rsid w:val="006458E9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53C"/>
    <w:rsid w:val="0082761D"/>
    <w:rsid w:val="0082781F"/>
    <w:rsid w:val="00850E90"/>
    <w:rsid w:val="00897D42"/>
    <w:rsid w:val="00897F46"/>
    <w:rsid w:val="008A6E4D"/>
    <w:rsid w:val="008B0017"/>
    <w:rsid w:val="008B6826"/>
    <w:rsid w:val="008D4272"/>
    <w:rsid w:val="008E3652"/>
    <w:rsid w:val="009E16FC"/>
    <w:rsid w:val="009E5258"/>
    <w:rsid w:val="009F62E7"/>
    <w:rsid w:val="00A14B74"/>
    <w:rsid w:val="00A516D8"/>
    <w:rsid w:val="00A8165C"/>
    <w:rsid w:val="00AB13B7"/>
    <w:rsid w:val="00AC7243"/>
    <w:rsid w:val="00AD70F5"/>
    <w:rsid w:val="00AD791F"/>
    <w:rsid w:val="00AE642C"/>
    <w:rsid w:val="00B166A9"/>
    <w:rsid w:val="00B17423"/>
    <w:rsid w:val="00B372A2"/>
    <w:rsid w:val="00B42A02"/>
    <w:rsid w:val="00B43C7F"/>
    <w:rsid w:val="00B56B2B"/>
    <w:rsid w:val="00B716BE"/>
    <w:rsid w:val="00B849EE"/>
    <w:rsid w:val="00B96907"/>
    <w:rsid w:val="00BD6A5B"/>
    <w:rsid w:val="00BF28A4"/>
    <w:rsid w:val="00C33401"/>
    <w:rsid w:val="00C44F01"/>
    <w:rsid w:val="00C762B8"/>
    <w:rsid w:val="00C85A3B"/>
    <w:rsid w:val="00CA2D37"/>
    <w:rsid w:val="00CB42AC"/>
    <w:rsid w:val="00CC5CB6"/>
    <w:rsid w:val="00D02A82"/>
    <w:rsid w:val="00D055EC"/>
    <w:rsid w:val="00D404ED"/>
    <w:rsid w:val="00D51261"/>
    <w:rsid w:val="00D5675C"/>
    <w:rsid w:val="00D748D3"/>
    <w:rsid w:val="00D75A56"/>
    <w:rsid w:val="00D848D7"/>
    <w:rsid w:val="00DD230F"/>
    <w:rsid w:val="00DE728C"/>
    <w:rsid w:val="00E32708"/>
    <w:rsid w:val="00E45FD0"/>
    <w:rsid w:val="00E81959"/>
    <w:rsid w:val="00EA5418"/>
    <w:rsid w:val="00EB215E"/>
    <w:rsid w:val="00ED65D7"/>
    <w:rsid w:val="00F474E9"/>
    <w:rsid w:val="00F745E7"/>
    <w:rsid w:val="00F96944"/>
    <w:rsid w:val="00FA3FB9"/>
    <w:rsid w:val="00FA5247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A3FF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52E2-F32F-4ABC-91B4-0A92AF8A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jesus</cp:lastModifiedBy>
  <cp:revision>42</cp:revision>
  <cp:lastPrinted>2021-01-14T18:31:00Z</cp:lastPrinted>
  <dcterms:created xsi:type="dcterms:W3CDTF">2014-09-01T14:30:00Z</dcterms:created>
  <dcterms:modified xsi:type="dcterms:W3CDTF">2021-04-07T04:29:00Z</dcterms:modified>
</cp:coreProperties>
</file>