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884F" w14:textId="77777777" w:rsidR="00486AE1" w:rsidRDefault="00486AE1" w:rsidP="005117F4"/>
    <w:p w14:paraId="726000DC" w14:textId="4CA46674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  <w:r w:rsidR="00F652E5">
        <w:rPr>
          <w:rFonts w:ascii="Soberana Sans Light" w:hAnsi="Soberana Sans Light"/>
        </w:rPr>
        <w:t>.</w:t>
      </w:r>
    </w:p>
    <w:p w14:paraId="680DE0AB" w14:textId="77777777" w:rsidR="00A83AC1" w:rsidRDefault="00A83AC1" w:rsidP="00876AE2">
      <w:pPr>
        <w:jc w:val="center"/>
        <w:rPr>
          <w:rFonts w:ascii="Soberana Sans Light" w:hAnsi="Soberana Sans Light"/>
        </w:rPr>
      </w:pPr>
    </w:p>
    <w:p w14:paraId="7770FDEC" w14:textId="77777777"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44CA45F6" w14:textId="71EF967D"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</w:t>
      </w:r>
      <w:r w:rsidR="00F652E5">
        <w:rPr>
          <w:rFonts w:ascii="Soberana Sans Light" w:hAnsi="Soberana Sans Light"/>
        </w:rPr>
        <w:t>fue un</w:t>
      </w:r>
      <w:r w:rsidRPr="00A83AC1">
        <w:rPr>
          <w:rFonts w:ascii="Soberana Sans Light" w:hAnsi="Soberana Sans Light"/>
        </w:rPr>
        <w:t xml:space="preserve"> </w:t>
      </w:r>
      <w:r w:rsidR="00481C33">
        <w:rPr>
          <w:rFonts w:ascii="Soberana Sans Light" w:hAnsi="Soberana Sans Light"/>
        </w:rPr>
        <w:t>organismo público descentralizado que administra</w:t>
      </w:r>
      <w:r w:rsidR="00F652E5">
        <w:rPr>
          <w:rFonts w:ascii="Soberana Sans Light" w:hAnsi="Soberana Sans Light"/>
        </w:rPr>
        <w:t>ba</w:t>
      </w:r>
      <w:r w:rsidR="00481C33">
        <w:rPr>
          <w:rFonts w:ascii="Soberana Sans Light" w:hAnsi="Soberana Sans Light"/>
        </w:rPr>
        <w:t xml:space="preserve"> y garantiza</w:t>
      </w:r>
      <w:r w:rsidR="00F652E5">
        <w:rPr>
          <w:rFonts w:ascii="Soberana Sans Light" w:hAnsi="Soberana Sans Light"/>
        </w:rPr>
        <w:t>ba</w:t>
      </w:r>
      <w:r w:rsidR="00481C33">
        <w:rPr>
          <w:rFonts w:ascii="Soberana Sans Light" w:hAnsi="Soberana Sans Light"/>
        </w:rPr>
        <w:t xml:space="preserve">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14:paraId="1EEAD8B1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3287CE7A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14:paraId="1F08DF6F" w14:textId="4C603BE5"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</w:t>
      </w:r>
      <w:r w:rsidR="005F1524">
        <w:rPr>
          <w:rFonts w:ascii="Soberana Sans Light" w:hAnsi="Soberana Sans Light"/>
        </w:rPr>
        <w:t>ó</w:t>
      </w:r>
      <w:bookmarkStart w:id="0" w:name="_GoBack"/>
      <w:bookmarkEnd w:id="0"/>
      <w:r w:rsidRPr="00A83AC1">
        <w:rPr>
          <w:rFonts w:ascii="Soberana Sans Light" w:hAnsi="Soberana Sans Light"/>
        </w:rPr>
        <w:t xml:space="preserve">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14:paraId="3270793F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1FE82A26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14:paraId="28A5B97D" w14:textId="1939C8DB"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</w:t>
      </w:r>
      <w:r w:rsidR="005F1524">
        <w:rPr>
          <w:rFonts w:ascii="Soberana Sans Light" w:hAnsi="Soberana Sans Light"/>
        </w:rPr>
        <w:t>ró</w:t>
      </w:r>
      <w:r>
        <w:rPr>
          <w:rFonts w:ascii="Soberana Sans Light" w:hAnsi="Soberana Sans Light"/>
        </w:rPr>
        <w:t xml:space="preserve"> la cobertura total de la población sin seguridad social en el Estado de Tlaxcala, </w:t>
      </w:r>
      <w:r w:rsidR="00F652E5">
        <w:rPr>
          <w:rFonts w:ascii="Soberana Sans Light" w:hAnsi="Soberana Sans Light"/>
        </w:rPr>
        <w:t xml:space="preserve">en la cual </w:t>
      </w:r>
      <w:r>
        <w:rPr>
          <w:rFonts w:ascii="Soberana Sans Light" w:hAnsi="Soberana Sans Light"/>
        </w:rPr>
        <w:t>efectua</w:t>
      </w:r>
      <w:r w:rsidR="00F652E5">
        <w:rPr>
          <w:rFonts w:ascii="Soberana Sans Light" w:hAnsi="Soberana Sans Light"/>
        </w:rPr>
        <w:t>ba</w:t>
      </w:r>
      <w:r>
        <w:rPr>
          <w:rFonts w:ascii="Soberana Sans Light" w:hAnsi="Soberana Sans Light"/>
        </w:rPr>
        <w:t xml:space="preserve"> acciones necesarias para garantizar la calidad en los servicios comprometidos por el Sistema y asegura</w:t>
      </w:r>
      <w:r w:rsidR="00F652E5">
        <w:rPr>
          <w:rFonts w:ascii="Soberana Sans Light" w:hAnsi="Soberana Sans Light"/>
        </w:rPr>
        <w:t>ba</w:t>
      </w:r>
      <w:r>
        <w:rPr>
          <w:rFonts w:ascii="Soberana Sans Light" w:hAnsi="Soberana Sans Light"/>
        </w:rPr>
        <w:t xml:space="preserve"> la satisfacción plena de los beneficiarios.</w:t>
      </w:r>
    </w:p>
    <w:p w14:paraId="78C9C766" w14:textId="77777777" w:rsidR="00A863FB" w:rsidRDefault="00A863FB" w:rsidP="00DC040D">
      <w:pPr>
        <w:rPr>
          <w:rFonts w:ascii="Soberana Sans Light" w:hAnsi="Soberana Sans Light"/>
        </w:rPr>
      </w:pPr>
    </w:p>
    <w:p w14:paraId="6FF38FD5" w14:textId="77777777"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14:paraId="6DE1E147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14:paraId="0D8C4739" w14:textId="6A786E28"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</w:t>
      </w:r>
      <w:r w:rsidR="00062CD1" w:rsidRPr="00A83AC1">
        <w:rPr>
          <w:rFonts w:ascii="Soberana Sans Light" w:hAnsi="Soberana Sans Light"/>
        </w:rPr>
        <w:t>t</w:t>
      </w:r>
      <w:r w:rsidR="005F1524">
        <w:rPr>
          <w:rFonts w:ascii="Soberana Sans Light" w:hAnsi="Soberana Sans Light"/>
        </w:rPr>
        <w:t>uvo</w:t>
      </w:r>
      <w:r w:rsidRPr="00A83AC1">
        <w:rPr>
          <w:rFonts w:ascii="Soberana Sans Light" w:hAnsi="Soberana Sans Light"/>
        </w:rPr>
        <w:t xml:space="preserve">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</w:t>
      </w:r>
      <w:r w:rsidR="00F652E5">
        <w:rPr>
          <w:rFonts w:ascii="Soberana Sans Light" w:hAnsi="Soberana Sans Light"/>
        </w:rPr>
        <w:t>ontaba</w:t>
      </w:r>
      <w:r w:rsidR="004D1B8B">
        <w:rPr>
          <w:rFonts w:ascii="Soberana Sans Light" w:hAnsi="Soberana Sans Light"/>
        </w:rPr>
        <w:t xml:space="preserve"> con seguridad social.</w:t>
      </w:r>
    </w:p>
    <w:p w14:paraId="599514DF" w14:textId="77777777"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14:paraId="474E8D92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14:paraId="2B99FCB9" w14:textId="63F41720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Contribu</w:t>
      </w:r>
      <w:r w:rsidR="005F1524">
        <w:rPr>
          <w:rFonts w:ascii="Soberana Sans Light" w:hAnsi="Soberana Sans Light"/>
        </w:rPr>
        <w:t>yó</w:t>
      </w:r>
      <w:r w:rsidRPr="00A863FB">
        <w:rPr>
          <w:rFonts w:ascii="Soberana Sans Light" w:hAnsi="Soberana Sans Light"/>
        </w:rPr>
        <w:t xml:space="preserve"> al mantenimiento de la cobertura universal en salud</w:t>
      </w:r>
      <w:r w:rsidR="00A863FB">
        <w:rPr>
          <w:rFonts w:ascii="Soberana Sans Light" w:hAnsi="Soberana Sans Light"/>
        </w:rPr>
        <w:t>.</w:t>
      </w:r>
    </w:p>
    <w:p w14:paraId="4D810126" w14:textId="2B5E4EB5" w:rsidR="00A83AC1" w:rsidRDefault="00062CD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</w:t>
      </w:r>
      <w:r>
        <w:rPr>
          <w:rFonts w:ascii="Soberana Sans Light" w:hAnsi="Soberana Sans Light"/>
        </w:rPr>
        <w:t>ió</w:t>
      </w:r>
      <w:r w:rsidR="00A83AC1" w:rsidRPr="00A863FB">
        <w:rPr>
          <w:rFonts w:ascii="Soberana Sans Light" w:hAnsi="Soberana Sans Light"/>
        </w:rPr>
        <w:t xml:space="preserve">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14:paraId="6915F4A1" w14:textId="697B31D2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</w:t>
      </w:r>
      <w:r w:rsidR="005F1524">
        <w:rPr>
          <w:rFonts w:ascii="Soberana Sans Light" w:hAnsi="Soberana Sans Light"/>
        </w:rPr>
        <w:t>ó</w:t>
      </w:r>
      <w:r w:rsidRPr="00A863FB">
        <w:rPr>
          <w:rFonts w:ascii="Soberana Sans Light" w:hAnsi="Soberana Sans Light"/>
        </w:rPr>
        <w:t xml:space="preserve">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</w:t>
      </w:r>
      <w:r w:rsidR="00F652E5">
        <w:rPr>
          <w:rFonts w:ascii="Soberana Sans Light" w:hAnsi="Soberana Sans Light"/>
        </w:rPr>
        <w:t>ara</w:t>
      </w:r>
      <w:r w:rsidRPr="00A863FB">
        <w:rPr>
          <w:rFonts w:ascii="Soberana Sans Light" w:hAnsi="Soberana Sans Light"/>
        </w:rPr>
        <w:t xml:space="preserve"> el acceso efectivo a servicios de salud</w:t>
      </w:r>
      <w:r w:rsidR="00A863FB">
        <w:rPr>
          <w:rFonts w:ascii="Soberana Sans Light" w:hAnsi="Soberana Sans Light"/>
        </w:rPr>
        <w:t>.</w:t>
      </w:r>
    </w:p>
    <w:p w14:paraId="0A56BEED" w14:textId="431CC84F" w:rsidR="00A83AC1" w:rsidRPr="00A863FB" w:rsidRDefault="00F652E5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</w:t>
      </w:r>
      <w:r w:rsidR="005F1524">
        <w:rPr>
          <w:rFonts w:ascii="Soberana Sans Light" w:hAnsi="Soberana Sans Light"/>
        </w:rPr>
        <w:t>ió y consolidó</w:t>
      </w:r>
      <w:r w:rsidR="00A83AC1" w:rsidRPr="00A863FB">
        <w:rPr>
          <w:rFonts w:ascii="Soberana Sans Light" w:hAnsi="Soberana Sans Light"/>
        </w:rPr>
        <w:t xml:space="preserve">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="00A83AC1"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="00A83AC1"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="00A83AC1"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14:paraId="3CE735EE" w14:textId="77777777"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14:paraId="0D0CCF45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14:paraId="3F783B72" w14:textId="25E2022D" w:rsidR="00A83AC1" w:rsidRPr="00A863FB" w:rsidRDefault="005F1524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Garantizó</w:t>
      </w:r>
      <w:r w:rsidR="00A83AC1" w:rsidRPr="00A863FB">
        <w:rPr>
          <w:rFonts w:ascii="Soberana Sans Light" w:hAnsi="Soberana Sans Light"/>
        </w:rPr>
        <w:t xml:space="preserve">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14:paraId="028D52CB" w14:textId="44F71B0C" w:rsidR="00A83AC1" w:rsidRPr="00A863FB" w:rsidRDefault="005F1524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Administró</w:t>
      </w:r>
      <w:r w:rsidR="00A83AC1" w:rsidRPr="00A863FB">
        <w:rPr>
          <w:rFonts w:ascii="Soberana Sans Light" w:hAnsi="Soberana Sans Light"/>
        </w:rPr>
        <w:t xml:space="preserve"> de manera eficiente y transparente los recursos materiales, humanos y financieros con la finalidad de fortalecer los servicios de salud.</w:t>
      </w:r>
    </w:p>
    <w:p w14:paraId="02ADE913" w14:textId="68A30AF4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</w:t>
      </w:r>
      <w:r w:rsidR="00F652E5">
        <w:rPr>
          <w:rFonts w:ascii="Soberana Sans Light" w:hAnsi="Soberana Sans Light"/>
        </w:rPr>
        <w:t>ba</w:t>
      </w:r>
      <w:r w:rsidRPr="00A863FB">
        <w:rPr>
          <w:rFonts w:ascii="Soberana Sans Light" w:hAnsi="Soberana Sans Light"/>
        </w:rPr>
        <w:t xml:space="preserve"> el acceso a los sistemas de salud públicos con calidad y eficiencia a todo ciudadano Tlaxcalteca.</w:t>
      </w:r>
    </w:p>
    <w:p w14:paraId="64D341A3" w14:textId="099F5834" w:rsidR="00A83AC1" w:rsidRPr="00A863FB" w:rsidRDefault="005F1524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Fomentó</w:t>
      </w:r>
      <w:r w:rsidR="00A83AC1" w:rsidRPr="00A863FB">
        <w:rPr>
          <w:rFonts w:ascii="Soberana Sans Light" w:hAnsi="Soberana Sans Light"/>
        </w:rPr>
        <w:t xml:space="preserve">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14:paraId="178A02D9" w14:textId="55001F83" w:rsidR="00A83AC1" w:rsidRPr="00A853D6" w:rsidRDefault="005F1524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Brindó</w:t>
      </w:r>
      <w:r w:rsidR="00A83AC1" w:rsidRPr="00A853D6">
        <w:rPr>
          <w:rFonts w:ascii="Soberana Sans Light" w:hAnsi="Soberana Sans Light"/>
        </w:rPr>
        <w:t xml:space="preserve"> atención </w:t>
      </w:r>
      <w:r w:rsidRPr="00A853D6">
        <w:rPr>
          <w:rFonts w:ascii="Soberana Sans Light" w:hAnsi="Soberana Sans Light"/>
        </w:rPr>
        <w:t>médica</w:t>
      </w:r>
      <w:r w:rsidR="00A83AC1" w:rsidRPr="00A853D6">
        <w:rPr>
          <w:rFonts w:ascii="Soberana Sans Light" w:hAnsi="Soberana Sans Light"/>
        </w:rPr>
        <w:t xml:space="preserve"> de primer y segundo nivel de forma oportuna, eficiente y con calidad</w:t>
      </w:r>
      <w:r w:rsidR="00F652E5">
        <w:rPr>
          <w:rFonts w:ascii="Soberana Sans Light" w:hAnsi="Soberana Sans Light"/>
        </w:rPr>
        <w:t>, a través de los Servicios de Salud</w:t>
      </w:r>
      <w:r w:rsidR="00A83AC1" w:rsidRPr="00A853D6">
        <w:rPr>
          <w:rFonts w:ascii="Soberana Sans Light" w:hAnsi="Soberana Sans Light"/>
        </w:rPr>
        <w:t>.</w:t>
      </w:r>
    </w:p>
    <w:p w14:paraId="249BFB9A" w14:textId="460BE45E" w:rsidR="00A83AC1" w:rsidRPr="00A853D6" w:rsidRDefault="005F1524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Reforzó</w:t>
      </w:r>
      <w:r w:rsidR="00A83AC1" w:rsidRPr="00A853D6">
        <w:rPr>
          <w:rFonts w:ascii="Soberana Sans Light" w:hAnsi="Soberana Sans Light"/>
        </w:rPr>
        <w:t xml:space="preserve">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EB00" w14:textId="77777777" w:rsidR="00331F28" w:rsidRDefault="00331F28" w:rsidP="00EA5418">
      <w:pPr>
        <w:spacing w:after="0" w:line="240" w:lineRule="auto"/>
      </w:pPr>
      <w:r>
        <w:separator/>
      </w:r>
    </w:p>
  </w:endnote>
  <w:endnote w:type="continuationSeparator" w:id="0">
    <w:p w14:paraId="05FDEDCB" w14:textId="77777777" w:rsidR="00331F28" w:rsidRDefault="00331F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C873" w14:textId="6435DA61" w:rsidR="0013011C" w:rsidRPr="0013011C" w:rsidRDefault="007626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785A21" wp14:editId="29E736B3">
              <wp:simplePos x="0" y="0"/>
              <wp:positionH relativeFrom="column">
                <wp:posOffset>-683260</wp:posOffset>
              </wp:positionH>
              <wp:positionV relativeFrom="paragraph">
                <wp:posOffset>-41358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668B6" id="3 Conector recto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3.25pt" to="740.2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F1524" w:rsidRPr="005F152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6B4C75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1B996" w14:textId="69B5EA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7F50CB" wp14:editId="264B78F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3B88F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F1524" w:rsidRPr="005F152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807DD" w14:textId="77777777" w:rsidR="00331F28" w:rsidRDefault="00331F28" w:rsidP="00EA5418">
      <w:pPr>
        <w:spacing w:after="0" w:line="240" w:lineRule="auto"/>
      </w:pPr>
      <w:r>
        <w:separator/>
      </w:r>
    </w:p>
  </w:footnote>
  <w:footnote w:type="continuationSeparator" w:id="0">
    <w:p w14:paraId="1BBDC762" w14:textId="77777777" w:rsidR="00331F28" w:rsidRDefault="00331F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9834" w14:textId="53E42845" w:rsidR="0013011C" w:rsidRDefault="0076266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DECC96" wp14:editId="7A59EC78">
              <wp:simplePos x="0" y="0"/>
              <wp:positionH relativeFrom="column">
                <wp:posOffset>-683895</wp:posOffset>
              </wp:positionH>
              <wp:positionV relativeFrom="paragraph">
                <wp:posOffset>314436</wp:posOffset>
              </wp:positionV>
              <wp:extent cx="10084279" cy="16510"/>
              <wp:effectExtent l="0" t="0" r="31750" b="215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901E1" id="3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24.75pt" to="74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" strokecolor="#c00000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E2597C" wp14:editId="3BE86EB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F01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FE7BA0B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7D8F73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B4B6" w14:textId="1608587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6266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C236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0BE88CF3" w14:textId="77777777"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7410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9CAC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E2597C" id="6 Grupo" o:spid="_x0000_s1026" style="position:absolute;margin-left:132.6pt;margin-top:-22.15pt;width:347.6pt;height:39.25pt;z-index:25165568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86BF01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FE7BA0B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7D8F73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6273B4B6" w14:textId="1608587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6266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C236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BE88CF3" w14:textId="77777777"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7410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9CAC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C291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8F43C0"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9766D" wp14:editId="008109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CB87D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62CD1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20A88"/>
    <w:rsid w:val="00331F28"/>
    <w:rsid w:val="00355821"/>
    <w:rsid w:val="003575A4"/>
    <w:rsid w:val="003610E0"/>
    <w:rsid w:val="00372F40"/>
    <w:rsid w:val="003D5DBF"/>
    <w:rsid w:val="003E6045"/>
    <w:rsid w:val="003E7FD0"/>
    <w:rsid w:val="004340C0"/>
    <w:rsid w:val="0044253C"/>
    <w:rsid w:val="00480DE2"/>
    <w:rsid w:val="00481C33"/>
    <w:rsid w:val="00486AE1"/>
    <w:rsid w:val="00497D8B"/>
    <w:rsid w:val="004A06C8"/>
    <w:rsid w:val="004D1B8B"/>
    <w:rsid w:val="004D41B8"/>
    <w:rsid w:val="004D635A"/>
    <w:rsid w:val="00502D8E"/>
    <w:rsid w:val="005117F4"/>
    <w:rsid w:val="00514361"/>
    <w:rsid w:val="00514397"/>
    <w:rsid w:val="00522632"/>
    <w:rsid w:val="00531310"/>
    <w:rsid w:val="00534982"/>
    <w:rsid w:val="00540418"/>
    <w:rsid w:val="00582405"/>
    <w:rsid w:val="005859FA"/>
    <w:rsid w:val="00597197"/>
    <w:rsid w:val="005C4CDB"/>
    <w:rsid w:val="005F1524"/>
    <w:rsid w:val="006048D2"/>
    <w:rsid w:val="00611E39"/>
    <w:rsid w:val="006B729B"/>
    <w:rsid w:val="006C236C"/>
    <w:rsid w:val="006E6B8E"/>
    <w:rsid w:val="006E77DD"/>
    <w:rsid w:val="006E7A57"/>
    <w:rsid w:val="006F6F0F"/>
    <w:rsid w:val="00762669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8F43C0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652E5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E5DFC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F4B2-4490-4AC3-AFA5-40149A7C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SECHUM</cp:lastModifiedBy>
  <cp:revision>3</cp:revision>
  <cp:lastPrinted>2021-04-12T20:39:00Z</cp:lastPrinted>
  <dcterms:created xsi:type="dcterms:W3CDTF">2021-04-12T19:35:00Z</dcterms:created>
  <dcterms:modified xsi:type="dcterms:W3CDTF">2021-04-12T20:42:00Z</dcterms:modified>
</cp:coreProperties>
</file>