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155BEA">
        <w:rPr>
          <w:rFonts w:ascii="Arial" w:hAnsi="Arial" w:cs="Arial"/>
          <w:sz w:val="18"/>
          <w:szCs w:val="18"/>
        </w:rPr>
        <w:t>2</w:t>
      </w:r>
      <w:r>
        <w:rPr>
          <w:rFonts w:ascii="Arial" w:hAnsi="Arial" w:cs="Arial"/>
          <w:sz w:val="18"/>
          <w:szCs w:val="18"/>
        </w:rPr>
        <w:t>,</w:t>
      </w:r>
      <w:r w:rsidR="00155BEA">
        <w:rPr>
          <w:rFonts w:ascii="Arial" w:hAnsi="Arial" w:cs="Arial"/>
          <w:sz w:val="18"/>
          <w:szCs w:val="18"/>
        </w:rPr>
        <w:t>8</w:t>
      </w:r>
      <w:r w:rsidR="009650A6">
        <w:rPr>
          <w:rFonts w:ascii="Arial" w:hAnsi="Arial" w:cs="Arial"/>
          <w:sz w:val="18"/>
          <w:szCs w:val="18"/>
        </w:rPr>
        <w:t>85</w:t>
      </w:r>
      <w:r>
        <w:rPr>
          <w:rFonts w:ascii="Arial" w:hAnsi="Arial" w:cs="Arial"/>
          <w:sz w:val="18"/>
          <w:szCs w:val="18"/>
        </w:rPr>
        <w:t>,</w:t>
      </w:r>
      <w:r w:rsidR="00155BEA">
        <w:rPr>
          <w:rFonts w:ascii="Arial" w:hAnsi="Arial" w:cs="Arial"/>
          <w:sz w:val="18"/>
          <w:szCs w:val="18"/>
        </w:rPr>
        <w:t>8</w:t>
      </w:r>
      <w:r w:rsidR="009650A6">
        <w:rPr>
          <w:rFonts w:ascii="Arial" w:hAnsi="Arial" w:cs="Arial"/>
          <w:sz w:val="18"/>
          <w:szCs w:val="18"/>
        </w:rPr>
        <w:t>56</w:t>
      </w:r>
      <w:r>
        <w:rPr>
          <w:rFonts w:ascii="Arial" w:hAnsi="Arial" w:cs="Arial"/>
          <w:sz w:val="18"/>
          <w:szCs w:val="18"/>
        </w:rPr>
        <w:t>,</w:t>
      </w:r>
      <w:r w:rsidR="009650A6">
        <w:rPr>
          <w:rFonts w:ascii="Arial" w:hAnsi="Arial" w:cs="Arial"/>
          <w:sz w:val="18"/>
          <w:szCs w:val="18"/>
        </w:rPr>
        <w:t>766</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AA7AE3">
        <w:rPr>
          <w:rFonts w:ascii="Arial" w:hAnsi="Arial" w:cs="Arial"/>
          <w:sz w:val="18"/>
          <w:szCs w:val="18"/>
        </w:rPr>
        <w:t>Segundo</w:t>
      </w:r>
      <w:r>
        <w:rPr>
          <w:rFonts w:ascii="Arial" w:hAnsi="Arial" w:cs="Arial"/>
          <w:sz w:val="18"/>
          <w:szCs w:val="18"/>
        </w:rPr>
        <w:t xml:space="preserve"> Ajuste Trimestral 20</w:t>
      </w:r>
      <w:r w:rsidR="00496633">
        <w:rPr>
          <w:rFonts w:ascii="Arial" w:hAnsi="Arial" w:cs="Arial"/>
          <w:sz w:val="18"/>
          <w:szCs w:val="18"/>
        </w:rPr>
        <w:t>2</w:t>
      </w:r>
      <w:r w:rsidR="00155BEA">
        <w:rPr>
          <w:rFonts w:ascii="Arial" w:hAnsi="Arial" w:cs="Arial"/>
          <w:sz w:val="18"/>
          <w:szCs w:val="18"/>
        </w:rPr>
        <w:t>1</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DF2E09">
        <w:rPr>
          <w:rFonts w:ascii="Arial" w:hAnsi="Arial" w:cs="Arial"/>
          <w:sz w:val="18"/>
          <w:szCs w:val="18"/>
        </w:rPr>
        <w:t>, observando una diferencia de -38% equivalente a $1,803,261,257 respecto al mismo periodo de 2020.</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1340E0">
        <w:rPr>
          <w:rFonts w:ascii="Arial" w:hAnsi="Arial" w:cs="Arial"/>
          <w:sz w:val="18"/>
          <w:szCs w:val="18"/>
        </w:rPr>
        <w:t>8,6</w:t>
      </w:r>
      <w:r w:rsidR="009650A6">
        <w:rPr>
          <w:rFonts w:ascii="Arial" w:hAnsi="Arial" w:cs="Arial"/>
          <w:sz w:val="18"/>
          <w:szCs w:val="18"/>
        </w:rPr>
        <w:t>48</w:t>
      </w:r>
      <w:r w:rsidR="001340E0">
        <w:rPr>
          <w:rFonts w:ascii="Arial" w:hAnsi="Arial" w:cs="Arial"/>
          <w:sz w:val="18"/>
          <w:szCs w:val="18"/>
        </w:rPr>
        <w:t>,</w:t>
      </w:r>
      <w:r w:rsidR="009650A6">
        <w:rPr>
          <w:rFonts w:ascii="Arial" w:hAnsi="Arial" w:cs="Arial"/>
          <w:sz w:val="18"/>
          <w:szCs w:val="18"/>
        </w:rPr>
        <w:t>761</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9650A6">
        <w:rPr>
          <w:rFonts w:ascii="Arial" w:hAnsi="Arial" w:cs="Arial"/>
          <w:sz w:val="18"/>
          <w:szCs w:val="18"/>
        </w:rPr>
        <w:t>segundo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21</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92323D">
        <w:rPr>
          <w:rFonts w:ascii="Arial" w:hAnsi="Arial" w:cs="Arial"/>
          <w:sz w:val="18"/>
          <w:szCs w:val="18"/>
        </w:rPr>
        <w:t>, siendo menor en un 84% respecto al mismo periodo de 2020</w:t>
      </w:r>
      <w:r>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en cantidad de $ </w:t>
      </w:r>
      <w:r w:rsidR="009650A6">
        <w:rPr>
          <w:rFonts w:ascii="Arial" w:hAnsi="Arial" w:cs="Arial"/>
          <w:sz w:val="18"/>
          <w:szCs w:val="18"/>
        </w:rPr>
        <w:t>40,537</w:t>
      </w:r>
      <w:r w:rsidR="001340E0">
        <w:rPr>
          <w:rFonts w:ascii="Arial" w:hAnsi="Arial" w:cs="Arial"/>
          <w:sz w:val="18"/>
          <w:szCs w:val="18"/>
        </w:rPr>
        <w:t>,</w:t>
      </w:r>
      <w:r w:rsidR="009650A6">
        <w:rPr>
          <w:rFonts w:ascii="Arial" w:hAnsi="Arial" w:cs="Arial"/>
          <w:sz w:val="18"/>
          <w:szCs w:val="18"/>
        </w:rPr>
        <w:t>290</w:t>
      </w:r>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92323D">
        <w:rPr>
          <w:rFonts w:ascii="Arial" w:hAnsi="Arial" w:cs="Arial"/>
          <w:sz w:val="18"/>
          <w:szCs w:val="18"/>
        </w:rPr>
        <w:t>, es significativamente mayor respecto al mismo periodo del ejercicio 2020</w:t>
      </w:r>
      <w:r w:rsidRPr="0073056A">
        <w:rPr>
          <w:rFonts w:ascii="Arial" w:hAnsi="Arial" w:cs="Arial"/>
          <w:sz w:val="18"/>
          <w:szCs w:val="18"/>
        </w:rPr>
        <w:t>.</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9650A6">
        <w:rPr>
          <w:rFonts w:ascii="Arial" w:hAnsi="Arial" w:cs="Arial"/>
          <w:sz w:val="18"/>
          <w:szCs w:val="18"/>
        </w:rPr>
        <w:t>segundo</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w:t>
      </w:r>
      <w:r w:rsidR="00155BEA">
        <w:rPr>
          <w:rFonts w:ascii="Arial" w:hAnsi="Arial" w:cs="Arial"/>
          <w:sz w:val="18"/>
          <w:szCs w:val="18"/>
        </w:rPr>
        <w:t>1</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9650A6">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w:t>
      </w:r>
      <w:r w:rsidR="006E78A6">
        <w:rPr>
          <w:rFonts w:ascii="Arial" w:hAnsi="Arial" w:cs="Arial"/>
          <w:sz w:val="18"/>
          <w:szCs w:val="18"/>
        </w:rPr>
        <w:t>70</w:t>
      </w:r>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r w:rsidR="00F61707">
        <w:rPr>
          <w:rFonts w:ascii="Arial" w:hAnsi="Arial" w:cs="Arial"/>
          <w:sz w:val="18"/>
          <w:szCs w:val="18"/>
        </w:rPr>
        <w:t>, observando un crecimiento del 4% respecto del mismo periodo del ejercicio 2020</w:t>
      </w:r>
      <w:r>
        <w:rPr>
          <w:rFonts w:ascii="Arial" w:hAnsi="Arial" w:cs="Arial"/>
          <w:sz w:val="18"/>
          <w:szCs w:val="18"/>
        </w:rPr>
        <w:t>.</w:t>
      </w:r>
    </w:p>
    <w:p w:rsidR="00501DBD" w:rsidRDefault="00501DBD" w:rsidP="00332091">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501DBD" w:rsidRPr="0073056A" w:rsidRDefault="00B006FD" w:rsidP="00501DBD">
      <w:pPr>
        <w:tabs>
          <w:tab w:val="left" w:pos="284"/>
        </w:tabs>
        <w:ind w:left="284"/>
        <w:jc w:val="both"/>
        <w:rPr>
          <w:rFonts w:ascii="Arial" w:hAnsi="Arial" w:cs="Arial"/>
          <w:sz w:val="18"/>
          <w:szCs w:val="18"/>
        </w:rPr>
      </w:pPr>
      <w:r>
        <w:rPr>
          <w:rFonts w:ascii="Arial" w:hAnsi="Arial" w:cs="Arial"/>
          <w:sz w:val="18"/>
          <w:szCs w:val="18"/>
        </w:rPr>
        <w:t xml:space="preserve">Al cierre del </w:t>
      </w:r>
      <w:r w:rsidR="009650A6">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6E78A6">
        <w:rPr>
          <w:rFonts w:ascii="Arial" w:hAnsi="Arial" w:cs="Arial"/>
          <w:sz w:val="18"/>
          <w:szCs w:val="18"/>
        </w:rPr>
        <w:t>1</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FE75AC">
        <w:rPr>
          <w:rFonts w:ascii="Arial" w:hAnsi="Arial" w:cs="Arial"/>
          <w:sz w:val="18"/>
          <w:szCs w:val="18"/>
        </w:rPr>
        <w:t>73</w:t>
      </w:r>
      <w:r w:rsidR="009650A6">
        <w:rPr>
          <w:rFonts w:ascii="Arial" w:hAnsi="Arial" w:cs="Arial"/>
          <w:sz w:val="18"/>
          <w:szCs w:val="18"/>
        </w:rPr>
        <w:t>2</w:t>
      </w:r>
      <w:r>
        <w:rPr>
          <w:rFonts w:ascii="Arial" w:hAnsi="Arial" w:cs="Arial"/>
          <w:sz w:val="18"/>
          <w:szCs w:val="18"/>
        </w:rPr>
        <w:t>,</w:t>
      </w:r>
      <w:r w:rsidR="00120F4C">
        <w:rPr>
          <w:rFonts w:ascii="Arial" w:hAnsi="Arial" w:cs="Arial"/>
          <w:sz w:val="18"/>
          <w:szCs w:val="18"/>
        </w:rPr>
        <w:t>5</w:t>
      </w:r>
      <w:r w:rsidR="009650A6">
        <w:rPr>
          <w:rFonts w:ascii="Arial" w:hAnsi="Arial" w:cs="Arial"/>
          <w:sz w:val="18"/>
          <w:szCs w:val="18"/>
        </w:rPr>
        <w:t>42</w:t>
      </w:r>
      <w:r>
        <w:rPr>
          <w:rFonts w:ascii="Arial" w:hAnsi="Arial" w:cs="Arial"/>
          <w:sz w:val="18"/>
          <w:szCs w:val="18"/>
        </w:rPr>
        <w:t>,</w:t>
      </w:r>
      <w:r w:rsidR="009650A6">
        <w:rPr>
          <w:rFonts w:ascii="Arial" w:hAnsi="Arial" w:cs="Arial"/>
          <w:sz w:val="18"/>
          <w:szCs w:val="18"/>
        </w:rPr>
        <w:t>379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501DBD">
        <w:rPr>
          <w:rFonts w:ascii="Arial" w:hAnsi="Arial" w:cs="Arial"/>
          <w:sz w:val="18"/>
          <w:szCs w:val="18"/>
        </w:rPr>
        <w:t xml:space="preserve">, presentando un incremento del </w:t>
      </w:r>
      <w:r w:rsidR="00243B89">
        <w:rPr>
          <w:rFonts w:ascii="Arial" w:hAnsi="Arial" w:cs="Arial"/>
          <w:sz w:val="18"/>
          <w:szCs w:val="18"/>
        </w:rPr>
        <w:t>9</w:t>
      </w:r>
      <w:r w:rsidR="00501DBD">
        <w:rPr>
          <w:rFonts w:ascii="Arial" w:hAnsi="Arial" w:cs="Arial"/>
          <w:sz w:val="18"/>
          <w:szCs w:val="18"/>
        </w:rPr>
        <w:t>% respecto del mismo periodo del ejercicio 2020.</w:t>
      </w:r>
    </w:p>
    <w:p w:rsidR="00B006FD" w:rsidRPr="0073056A" w:rsidRDefault="00B006FD" w:rsidP="00B006FD">
      <w:pPr>
        <w:tabs>
          <w:tab w:val="left" w:pos="284"/>
        </w:tabs>
        <w:ind w:left="284"/>
        <w:jc w:val="both"/>
        <w:rPr>
          <w:rFonts w:ascii="Arial" w:hAnsi="Arial" w:cs="Arial"/>
          <w:sz w:val="18"/>
          <w:szCs w:val="18"/>
        </w:rPr>
      </w:pP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FE75AC">
        <w:rPr>
          <w:rFonts w:ascii="Arial" w:hAnsi="Arial" w:cs="Arial"/>
          <w:sz w:val="18"/>
          <w:szCs w:val="18"/>
        </w:rPr>
        <w:t>9</w:t>
      </w:r>
      <w:r w:rsidRPr="00F619D6">
        <w:rPr>
          <w:rFonts w:ascii="Arial" w:hAnsi="Arial" w:cs="Arial"/>
          <w:sz w:val="18"/>
          <w:szCs w:val="18"/>
        </w:rPr>
        <w:t>,</w:t>
      </w:r>
      <w:r w:rsidR="009650A6">
        <w:rPr>
          <w:rFonts w:ascii="Arial" w:hAnsi="Arial" w:cs="Arial"/>
          <w:sz w:val="18"/>
          <w:szCs w:val="18"/>
        </w:rPr>
        <w:t>206</w:t>
      </w:r>
      <w:r w:rsidRPr="00F619D6">
        <w:rPr>
          <w:rFonts w:ascii="Arial" w:hAnsi="Arial" w:cs="Arial"/>
          <w:sz w:val="18"/>
          <w:szCs w:val="18"/>
        </w:rPr>
        <w:t>,</w:t>
      </w:r>
      <w:r w:rsidR="00FA0D0F">
        <w:rPr>
          <w:rFonts w:ascii="Arial" w:hAnsi="Arial" w:cs="Arial"/>
          <w:sz w:val="18"/>
          <w:szCs w:val="18"/>
        </w:rPr>
        <w:t>394</w:t>
      </w:r>
      <w:r w:rsidRPr="00F619D6">
        <w:rPr>
          <w:rFonts w:ascii="Arial" w:hAnsi="Arial" w:cs="Arial"/>
          <w:sz w:val="18"/>
          <w:szCs w:val="18"/>
        </w:rPr>
        <w:t>,</w:t>
      </w:r>
      <w:r w:rsidR="00FA0D0F">
        <w:rPr>
          <w:rFonts w:ascii="Arial" w:hAnsi="Arial" w:cs="Arial"/>
          <w:sz w:val="18"/>
          <w:szCs w:val="18"/>
        </w:rPr>
        <w:t>088</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t>El saldo de $11</w:t>
      </w:r>
      <w:r w:rsidR="00FA0D0F">
        <w:rPr>
          <w:rFonts w:ascii="Arial" w:hAnsi="Arial" w:cs="Arial"/>
          <w:sz w:val="18"/>
          <w:szCs w:val="18"/>
        </w:rPr>
        <w:t>4</w:t>
      </w:r>
      <w:r w:rsidR="00B006FD">
        <w:rPr>
          <w:rFonts w:ascii="Arial" w:hAnsi="Arial" w:cs="Arial"/>
          <w:sz w:val="18"/>
          <w:szCs w:val="18"/>
        </w:rPr>
        <w:t>,</w:t>
      </w:r>
      <w:r w:rsidR="00FA0D0F">
        <w:rPr>
          <w:rFonts w:ascii="Arial" w:hAnsi="Arial" w:cs="Arial"/>
          <w:sz w:val="18"/>
          <w:szCs w:val="18"/>
        </w:rPr>
        <w:t>142</w:t>
      </w:r>
      <w:r w:rsidR="00B006FD">
        <w:rPr>
          <w:rFonts w:ascii="Arial" w:hAnsi="Arial" w:cs="Arial"/>
          <w:sz w:val="18"/>
          <w:szCs w:val="18"/>
        </w:rPr>
        <w:t>,</w:t>
      </w:r>
      <w:r w:rsidR="00FA0D0F">
        <w:rPr>
          <w:rFonts w:ascii="Arial" w:hAnsi="Arial" w:cs="Arial"/>
          <w:sz w:val="18"/>
          <w:szCs w:val="18"/>
        </w:rPr>
        <w:t>853</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ED4151">
        <w:rPr>
          <w:rFonts w:ascii="Arial" w:hAnsi="Arial" w:cs="Arial"/>
          <w:sz w:val="18"/>
          <w:szCs w:val="18"/>
        </w:rPr>
        <w:t>, observando un incremento de 21% respecto a lo registrado en el mismo periodo del ejercicio 2020</w:t>
      </w:r>
      <w:r w:rsidR="00B006FD"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r w:rsidR="00ED4151">
        <w:rPr>
          <w:rFonts w:ascii="Arial" w:hAnsi="Arial" w:cs="Arial"/>
          <w:sz w:val="18"/>
          <w:szCs w:val="18"/>
        </w:rPr>
        <w:t>No se observan variaciones respecto al ejercicio 2020.</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FA0D0F">
        <w:rPr>
          <w:rFonts w:ascii="Arial" w:hAnsi="Arial" w:cs="Arial"/>
          <w:sz w:val="18"/>
          <w:szCs w:val="18"/>
        </w:rPr>
        <w:t>juni</w:t>
      </w:r>
      <w:r w:rsidR="00FE75AC">
        <w:rPr>
          <w:rFonts w:ascii="Arial" w:hAnsi="Arial" w:cs="Arial"/>
          <w:sz w:val="18"/>
          <w:szCs w:val="18"/>
        </w:rPr>
        <w:t>o</w:t>
      </w:r>
      <w:r>
        <w:rPr>
          <w:rFonts w:ascii="Arial" w:hAnsi="Arial" w:cs="Arial"/>
          <w:sz w:val="18"/>
          <w:szCs w:val="18"/>
        </w:rPr>
        <w:t xml:space="preserve"> del ejercicio 20</w:t>
      </w:r>
      <w:r w:rsidR="00111884">
        <w:rPr>
          <w:rFonts w:ascii="Arial" w:hAnsi="Arial" w:cs="Arial"/>
          <w:sz w:val="18"/>
          <w:szCs w:val="18"/>
        </w:rPr>
        <w:t>2</w:t>
      </w:r>
      <w:r w:rsidR="00FE75AC">
        <w:rPr>
          <w:rFonts w:ascii="Arial" w:hAnsi="Arial" w:cs="Arial"/>
          <w:sz w:val="18"/>
          <w:szCs w:val="18"/>
        </w:rPr>
        <w:t>1</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FA0D0F">
        <w:rPr>
          <w:rFonts w:ascii="Arial" w:hAnsi="Arial" w:cs="Arial"/>
          <w:sz w:val="18"/>
          <w:szCs w:val="18"/>
        </w:rPr>
        <w:t>1</w:t>
      </w:r>
      <w:r>
        <w:rPr>
          <w:rFonts w:ascii="Arial" w:hAnsi="Arial" w:cs="Arial"/>
          <w:sz w:val="18"/>
          <w:szCs w:val="18"/>
        </w:rPr>
        <w:t>,</w:t>
      </w:r>
      <w:r w:rsidR="00FA0D0F">
        <w:rPr>
          <w:rFonts w:ascii="Arial" w:hAnsi="Arial" w:cs="Arial"/>
          <w:sz w:val="18"/>
          <w:szCs w:val="18"/>
        </w:rPr>
        <w:t>282</w:t>
      </w:r>
      <w:r>
        <w:rPr>
          <w:rFonts w:ascii="Arial" w:hAnsi="Arial" w:cs="Arial"/>
          <w:sz w:val="18"/>
          <w:szCs w:val="18"/>
        </w:rPr>
        <w:t>,</w:t>
      </w:r>
      <w:r w:rsidR="00FA0D0F">
        <w:rPr>
          <w:rFonts w:ascii="Arial" w:hAnsi="Arial" w:cs="Arial"/>
          <w:sz w:val="18"/>
          <w:szCs w:val="18"/>
        </w:rPr>
        <w:t>799</w:t>
      </w:r>
      <w:r>
        <w:rPr>
          <w:rFonts w:ascii="Arial" w:hAnsi="Arial" w:cs="Arial"/>
          <w:sz w:val="18"/>
          <w:szCs w:val="18"/>
        </w:rPr>
        <w:t>,</w:t>
      </w:r>
      <w:r w:rsidR="00FA0D0F">
        <w:rPr>
          <w:rFonts w:ascii="Arial" w:hAnsi="Arial" w:cs="Arial"/>
          <w:sz w:val="18"/>
          <w:szCs w:val="18"/>
        </w:rPr>
        <w:t>297</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sidR="00ED4151">
        <w:rPr>
          <w:rFonts w:ascii="Arial" w:hAnsi="Arial" w:cs="Arial"/>
          <w:sz w:val="18"/>
          <w:szCs w:val="18"/>
        </w:rPr>
        <w:t xml:space="preserve"> En este rubro se tiene una disminución del 58% respecto al 2020.</w:t>
      </w: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FA0D0F">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FA0D0F">
        <w:rPr>
          <w:rFonts w:ascii="Arial" w:hAnsi="Arial" w:cs="Arial"/>
          <w:sz w:val="18"/>
          <w:szCs w:val="18"/>
        </w:rPr>
        <w:t>11</w:t>
      </w:r>
      <w:r>
        <w:rPr>
          <w:rFonts w:ascii="Arial" w:hAnsi="Arial" w:cs="Arial"/>
          <w:sz w:val="18"/>
          <w:szCs w:val="18"/>
        </w:rPr>
        <w:t>,</w:t>
      </w:r>
      <w:r w:rsidR="00FA0D0F">
        <w:rPr>
          <w:rFonts w:ascii="Arial" w:hAnsi="Arial" w:cs="Arial"/>
          <w:sz w:val="18"/>
          <w:szCs w:val="18"/>
        </w:rPr>
        <w:t>585</w:t>
      </w:r>
      <w:r>
        <w:rPr>
          <w:rFonts w:ascii="Arial" w:hAnsi="Arial" w:cs="Arial"/>
          <w:sz w:val="18"/>
          <w:szCs w:val="18"/>
        </w:rPr>
        <w:t>,</w:t>
      </w:r>
      <w:r w:rsidR="00FA0D0F">
        <w:rPr>
          <w:rFonts w:ascii="Arial" w:hAnsi="Arial" w:cs="Arial"/>
          <w:sz w:val="18"/>
          <w:szCs w:val="18"/>
        </w:rPr>
        <w:t>813</w:t>
      </w:r>
      <w:r>
        <w:rPr>
          <w:rFonts w:ascii="Arial" w:hAnsi="Arial" w:cs="Arial"/>
          <w:sz w:val="18"/>
          <w:szCs w:val="18"/>
        </w:rPr>
        <w:t>,</w:t>
      </w:r>
      <w:r w:rsidR="00FA0D0F">
        <w:rPr>
          <w:rFonts w:ascii="Arial" w:hAnsi="Arial" w:cs="Arial"/>
          <w:sz w:val="18"/>
          <w:szCs w:val="18"/>
        </w:rPr>
        <w:t>896</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CE04CE">
        <w:rPr>
          <w:rFonts w:ascii="Arial" w:hAnsi="Arial" w:cs="Arial"/>
          <w:sz w:val="18"/>
          <w:szCs w:val="18"/>
        </w:rPr>
        <w:t>9</w:t>
      </w:r>
      <w:r>
        <w:rPr>
          <w:rFonts w:ascii="Arial" w:hAnsi="Arial" w:cs="Arial"/>
          <w:sz w:val="18"/>
          <w:szCs w:val="18"/>
        </w:rPr>
        <w:t>,</w:t>
      </w:r>
      <w:r w:rsidR="00CE04CE">
        <w:rPr>
          <w:rFonts w:ascii="Arial" w:hAnsi="Arial" w:cs="Arial"/>
          <w:sz w:val="18"/>
          <w:szCs w:val="18"/>
        </w:rPr>
        <w:t>982</w:t>
      </w:r>
      <w:r>
        <w:rPr>
          <w:rFonts w:ascii="Arial" w:hAnsi="Arial" w:cs="Arial"/>
          <w:sz w:val="18"/>
          <w:szCs w:val="18"/>
        </w:rPr>
        <w:t>,</w:t>
      </w:r>
      <w:r w:rsidR="00CE04CE">
        <w:rPr>
          <w:rFonts w:ascii="Arial" w:hAnsi="Arial" w:cs="Arial"/>
          <w:sz w:val="18"/>
          <w:szCs w:val="18"/>
        </w:rPr>
        <w:t>737</w:t>
      </w:r>
      <w:r>
        <w:rPr>
          <w:rFonts w:ascii="Arial" w:hAnsi="Arial" w:cs="Arial"/>
          <w:sz w:val="18"/>
          <w:szCs w:val="18"/>
        </w:rPr>
        <w:t>,</w:t>
      </w:r>
      <w:r w:rsidR="00CE04CE">
        <w:rPr>
          <w:rFonts w:ascii="Arial" w:hAnsi="Arial" w:cs="Arial"/>
          <w:sz w:val="18"/>
          <w:szCs w:val="18"/>
        </w:rPr>
        <w:t>289</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CE04CE">
        <w:rPr>
          <w:rFonts w:ascii="Arial" w:hAnsi="Arial" w:cs="Arial"/>
          <w:sz w:val="18"/>
          <w:szCs w:val="18"/>
        </w:rPr>
        <w:t xml:space="preserve"> 1,603</w:t>
      </w:r>
      <w:r>
        <w:rPr>
          <w:rFonts w:ascii="Arial" w:hAnsi="Arial" w:cs="Arial"/>
          <w:sz w:val="18"/>
          <w:szCs w:val="18"/>
        </w:rPr>
        <w:t>,</w:t>
      </w:r>
      <w:r w:rsidR="00CE04CE">
        <w:rPr>
          <w:rFonts w:ascii="Arial" w:hAnsi="Arial" w:cs="Arial"/>
          <w:sz w:val="18"/>
          <w:szCs w:val="18"/>
        </w:rPr>
        <w:t>076</w:t>
      </w:r>
      <w:r>
        <w:rPr>
          <w:rFonts w:ascii="Arial" w:hAnsi="Arial" w:cs="Arial"/>
          <w:sz w:val="18"/>
          <w:szCs w:val="18"/>
        </w:rPr>
        <w:t>,</w:t>
      </w:r>
      <w:r w:rsidR="00CE04CE">
        <w:rPr>
          <w:rFonts w:ascii="Arial" w:hAnsi="Arial" w:cs="Arial"/>
          <w:sz w:val="18"/>
          <w:szCs w:val="18"/>
        </w:rPr>
        <w:t>607</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ED4151">
        <w:rPr>
          <w:rFonts w:ascii="Arial" w:hAnsi="Arial" w:cs="Arial"/>
          <w:sz w:val="18"/>
          <w:szCs w:val="18"/>
        </w:rPr>
        <w:t>, mismo que es m</w:t>
      </w:r>
      <w:r w:rsidR="00FA22B2">
        <w:rPr>
          <w:rFonts w:ascii="Arial" w:hAnsi="Arial" w:cs="Arial"/>
          <w:sz w:val="18"/>
          <w:szCs w:val="18"/>
        </w:rPr>
        <w:t>ayor</w:t>
      </w:r>
      <w:r w:rsidR="00ED4151">
        <w:rPr>
          <w:rFonts w:ascii="Arial" w:hAnsi="Arial" w:cs="Arial"/>
          <w:sz w:val="18"/>
          <w:szCs w:val="18"/>
        </w:rPr>
        <w:t xml:space="preserve"> en un </w:t>
      </w:r>
      <w:r w:rsidR="00FA22B2">
        <w:rPr>
          <w:rFonts w:ascii="Arial" w:hAnsi="Arial" w:cs="Arial"/>
          <w:sz w:val="18"/>
          <w:szCs w:val="18"/>
        </w:rPr>
        <w:t>3</w:t>
      </w:r>
      <w:r w:rsidR="00ED4151">
        <w:rPr>
          <w:rFonts w:ascii="Arial" w:hAnsi="Arial" w:cs="Arial"/>
          <w:sz w:val="18"/>
          <w:szCs w:val="18"/>
        </w:rPr>
        <w:t>% respecto al mismo periodo de 2020</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FA22B2" w:rsidRPr="0073056A" w:rsidRDefault="001C4CB9" w:rsidP="00FA22B2">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CE04CE">
        <w:rPr>
          <w:rFonts w:ascii="Arial" w:hAnsi="Arial" w:cs="Arial"/>
          <w:sz w:val="18"/>
          <w:szCs w:val="18"/>
        </w:rPr>
        <w:t>juni</w:t>
      </w:r>
      <w:r w:rsidR="00FE75AC">
        <w:rPr>
          <w:rFonts w:ascii="Arial" w:hAnsi="Arial" w:cs="Arial"/>
          <w:sz w:val="18"/>
          <w:szCs w:val="18"/>
        </w:rPr>
        <w:t>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FE75AC">
        <w:rPr>
          <w:rFonts w:ascii="Arial" w:hAnsi="Arial" w:cs="Arial"/>
          <w:sz w:val="18"/>
          <w:szCs w:val="18"/>
        </w:rPr>
        <w:t>1</w:t>
      </w:r>
      <w:r w:rsidRPr="0073056A">
        <w:rPr>
          <w:rFonts w:ascii="Arial" w:hAnsi="Arial" w:cs="Arial"/>
          <w:sz w:val="18"/>
          <w:szCs w:val="18"/>
        </w:rPr>
        <w:t xml:space="preserve"> se recaudó la cantidad de $</w:t>
      </w:r>
      <w:r>
        <w:rPr>
          <w:rFonts w:ascii="Arial" w:hAnsi="Arial" w:cs="Arial"/>
          <w:sz w:val="18"/>
          <w:szCs w:val="18"/>
        </w:rPr>
        <w:t xml:space="preserve"> </w:t>
      </w:r>
      <w:r w:rsidR="00CE04CE">
        <w:rPr>
          <w:rFonts w:ascii="Arial" w:hAnsi="Arial" w:cs="Arial"/>
          <w:sz w:val="18"/>
          <w:szCs w:val="18"/>
        </w:rPr>
        <w:t>32</w:t>
      </w:r>
      <w:r w:rsidR="00FE75AC">
        <w:rPr>
          <w:rFonts w:ascii="Arial" w:hAnsi="Arial" w:cs="Arial"/>
          <w:sz w:val="18"/>
          <w:szCs w:val="18"/>
        </w:rPr>
        <w:t>5</w:t>
      </w:r>
      <w:r>
        <w:rPr>
          <w:rFonts w:ascii="Arial" w:hAnsi="Arial" w:cs="Arial"/>
          <w:sz w:val="18"/>
          <w:szCs w:val="18"/>
        </w:rPr>
        <w:t>,</w:t>
      </w:r>
      <w:r w:rsidR="00CE04CE">
        <w:rPr>
          <w:rFonts w:ascii="Arial" w:hAnsi="Arial" w:cs="Arial"/>
          <w:sz w:val="18"/>
          <w:szCs w:val="18"/>
        </w:rPr>
        <w:t>862</w:t>
      </w:r>
      <w:r>
        <w:rPr>
          <w:rFonts w:ascii="Arial" w:hAnsi="Arial" w:cs="Arial"/>
          <w:sz w:val="18"/>
          <w:szCs w:val="18"/>
        </w:rPr>
        <w:t>,</w:t>
      </w:r>
      <w:r w:rsidR="00CE04CE">
        <w:rPr>
          <w:rFonts w:ascii="Arial" w:hAnsi="Arial" w:cs="Arial"/>
          <w:sz w:val="18"/>
          <w:szCs w:val="18"/>
        </w:rPr>
        <w:t>334</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CE04CE">
        <w:rPr>
          <w:rFonts w:ascii="Arial" w:hAnsi="Arial" w:cs="Arial"/>
          <w:sz w:val="18"/>
          <w:szCs w:val="18"/>
        </w:rPr>
        <w:t>305</w:t>
      </w:r>
      <w:r w:rsidR="00E004F0">
        <w:rPr>
          <w:rFonts w:ascii="Arial" w:hAnsi="Arial" w:cs="Arial"/>
          <w:sz w:val="18"/>
          <w:szCs w:val="18"/>
        </w:rPr>
        <w:t>,</w:t>
      </w:r>
      <w:r w:rsidR="00CE04CE">
        <w:rPr>
          <w:rFonts w:ascii="Arial" w:hAnsi="Arial" w:cs="Arial"/>
          <w:sz w:val="18"/>
          <w:szCs w:val="18"/>
        </w:rPr>
        <w:t>722</w:t>
      </w:r>
      <w:r>
        <w:rPr>
          <w:rFonts w:ascii="Arial" w:hAnsi="Arial" w:cs="Arial"/>
          <w:sz w:val="18"/>
          <w:szCs w:val="18"/>
        </w:rPr>
        <w:t>,</w:t>
      </w:r>
      <w:r w:rsidR="00CE04CE">
        <w:rPr>
          <w:rFonts w:ascii="Arial" w:hAnsi="Arial" w:cs="Arial"/>
          <w:sz w:val="18"/>
          <w:szCs w:val="18"/>
        </w:rPr>
        <w:t>521</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CE04CE">
        <w:rPr>
          <w:rFonts w:ascii="Arial" w:hAnsi="Arial" w:cs="Arial"/>
          <w:sz w:val="18"/>
          <w:szCs w:val="18"/>
        </w:rPr>
        <w:t>15</w:t>
      </w:r>
      <w:r>
        <w:rPr>
          <w:rFonts w:ascii="Arial" w:hAnsi="Arial" w:cs="Arial"/>
          <w:sz w:val="18"/>
          <w:szCs w:val="18"/>
        </w:rPr>
        <w:t>,</w:t>
      </w:r>
      <w:r w:rsidR="00CE04CE">
        <w:rPr>
          <w:rFonts w:ascii="Arial" w:hAnsi="Arial" w:cs="Arial"/>
          <w:sz w:val="18"/>
          <w:szCs w:val="18"/>
        </w:rPr>
        <w:t>550</w:t>
      </w:r>
      <w:r>
        <w:rPr>
          <w:rFonts w:ascii="Arial" w:hAnsi="Arial" w:cs="Arial"/>
          <w:sz w:val="18"/>
          <w:szCs w:val="18"/>
        </w:rPr>
        <w:t>,</w:t>
      </w:r>
      <w:r w:rsidR="00CE04CE">
        <w:rPr>
          <w:rFonts w:ascii="Arial" w:hAnsi="Arial" w:cs="Arial"/>
          <w:sz w:val="18"/>
          <w:szCs w:val="18"/>
        </w:rPr>
        <w:t>633</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E04CE">
        <w:rPr>
          <w:rFonts w:ascii="Arial" w:hAnsi="Arial" w:cs="Arial"/>
          <w:sz w:val="18"/>
          <w:szCs w:val="18"/>
        </w:rPr>
        <w:t>2</w:t>
      </w:r>
      <w:r>
        <w:rPr>
          <w:rFonts w:ascii="Arial" w:hAnsi="Arial" w:cs="Arial"/>
          <w:sz w:val="18"/>
          <w:szCs w:val="18"/>
        </w:rPr>
        <w:t>,</w:t>
      </w:r>
      <w:r w:rsidR="00CE04CE">
        <w:rPr>
          <w:rFonts w:ascii="Arial" w:hAnsi="Arial" w:cs="Arial"/>
          <w:sz w:val="18"/>
          <w:szCs w:val="18"/>
        </w:rPr>
        <w:t>139</w:t>
      </w:r>
      <w:r>
        <w:rPr>
          <w:rFonts w:ascii="Arial" w:hAnsi="Arial" w:cs="Arial"/>
          <w:sz w:val="18"/>
          <w:szCs w:val="18"/>
        </w:rPr>
        <w:t>,</w:t>
      </w:r>
      <w:r w:rsidR="00CE04CE">
        <w:rPr>
          <w:rFonts w:ascii="Arial" w:hAnsi="Arial" w:cs="Arial"/>
          <w:sz w:val="18"/>
          <w:szCs w:val="18"/>
        </w:rPr>
        <w:t>502</w:t>
      </w:r>
      <w:r w:rsidR="00E004F0">
        <w:rPr>
          <w:rFonts w:ascii="Arial" w:hAnsi="Arial" w:cs="Arial"/>
          <w:sz w:val="18"/>
          <w:szCs w:val="18"/>
        </w:rPr>
        <w:t>.</w:t>
      </w:r>
      <w:r w:rsidR="00FA22B2">
        <w:rPr>
          <w:rFonts w:ascii="Arial" w:hAnsi="Arial" w:cs="Arial"/>
          <w:sz w:val="18"/>
          <w:szCs w:val="18"/>
        </w:rPr>
        <w:t xml:space="preserve"> Representado un incremento en impuestos del 10%, respecto del ejercicio 2020.</w:t>
      </w:r>
    </w:p>
    <w:p w:rsidR="00332091" w:rsidRPr="0073056A" w:rsidRDefault="00332091" w:rsidP="00332091">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CE04CE">
        <w:rPr>
          <w:rFonts w:ascii="Arial" w:hAnsi="Arial" w:cs="Arial"/>
          <w:sz w:val="18"/>
          <w:szCs w:val="18"/>
        </w:rPr>
        <w:t>junio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CE04CE">
        <w:rPr>
          <w:rFonts w:ascii="Arial" w:hAnsi="Arial" w:cs="Arial"/>
          <w:sz w:val="18"/>
          <w:szCs w:val="18"/>
        </w:rPr>
        <w:t>267</w:t>
      </w:r>
      <w:r>
        <w:rPr>
          <w:rFonts w:ascii="Arial" w:hAnsi="Arial" w:cs="Arial"/>
          <w:sz w:val="18"/>
          <w:szCs w:val="18"/>
        </w:rPr>
        <w:t>,</w:t>
      </w:r>
      <w:r w:rsidR="00CE04CE">
        <w:rPr>
          <w:rFonts w:ascii="Arial" w:hAnsi="Arial" w:cs="Arial"/>
          <w:sz w:val="18"/>
          <w:szCs w:val="18"/>
        </w:rPr>
        <w:t>310</w:t>
      </w:r>
      <w:r>
        <w:rPr>
          <w:rFonts w:ascii="Arial" w:hAnsi="Arial" w:cs="Arial"/>
          <w:sz w:val="18"/>
          <w:szCs w:val="18"/>
        </w:rPr>
        <w:t>,</w:t>
      </w:r>
      <w:r w:rsidR="00CE04CE">
        <w:rPr>
          <w:rFonts w:ascii="Arial" w:hAnsi="Arial" w:cs="Arial"/>
          <w:sz w:val="18"/>
          <w:szCs w:val="18"/>
        </w:rPr>
        <w:t>144</w:t>
      </w:r>
      <w:r w:rsidRPr="0073056A">
        <w:rPr>
          <w:rFonts w:ascii="Arial" w:hAnsi="Arial" w:cs="Arial"/>
          <w:sz w:val="18"/>
          <w:szCs w:val="18"/>
        </w:rPr>
        <w:t>.</w:t>
      </w:r>
      <w:r w:rsidR="00FA22B2">
        <w:rPr>
          <w:rFonts w:ascii="Arial" w:hAnsi="Arial" w:cs="Arial"/>
          <w:sz w:val="18"/>
          <w:szCs w:val="18"/>
        </w:rPr>
        <w:t xml:space="preserve"> Presentado un incremento en este concepto del 34%, respecto del ejercicio 2020.</w:t>
      </w:r>
    </w:p>
    <w:p w:rsidR="00C013A1" w:rsidRDefault="00C013A1" w:rsidP="00FA22B2">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C55BBF">
        <w:rPr>
          <w:rFonts w:ascii="Arial" w:hAnsi="Arial" w:cs="Arial"/>
          <w:sz w:val="18"/>
          <w:szCs w:val="18"/>
        </w:rPr>
        <w:t>marzo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8A5B22">
        <w:rPr>
          <w:rFonts w:ascii="Arial" w:hAnsi="Arial" w:cs="Arial"/>
          <w:sz w:val="18"/>
          <w:szCs w:val="18"/>
        </w:rPr>
        <w:t>71</w:t>
      </w:r>
      <w:r w:rsidRPr="00502DDD">
        <w:rPr>
          <w:rFonts w:ascii="Arial" w:hAnsi="Arial" w:cs="Arial"/>
          <w:sz w:val="18"/>
          <w:szCs w:val="18"/>
        </w:rPr>
        <w:t>,</w:t>
      </w:r>
      <w:r w:rsidR="008A5B22">
        <w:rPr>
          <w:rFonts w:ascii="Arial" w:hAnsi="Arial" w:cs="Arial"/>
          <w:sz w:val="18"/>
          <w:szCs w:val="18"/>
        </w:rPr>
        <w:t>058</w:t>
      </w:r>
      <w:r w:rsidRPr="00502DDD">
        <w:rPr>
          <w:rFonts w:ascii="Arial" w:hAnsi="Arial" w:cs="Arial"/>
          <w:sz w:val="18"/>
          <w:szCs w:val="18"/>
        </w:rPr>
        <w:t>,</w:t>
      </w:r>
      <w:r w:rsidR="008A5B22">
        <w:rPr>
          <w:rFonts w:ascii="Arial" w:hAnsi="Arial" w:cs="Arial"/>
          <w:sz w:val="18"/>
          <w:szCs w:val="18"/>
        </w:rPr>
        <w:t>381</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FA22B2">
        <w:rPr>
          <w:rFonts w:ascii="Arial" w:hAnsi="Arial" w:cs="Arial"/>
          <w:sz w:val="18"/>
          <w:szCs w:val="18"/>
        </w:rPr>
        <w:t xml:space="preserve"> Presentado una disminución en este rubro del 36%, respecto del ejercicio 2020.</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FA22B2" w:rsidRPr="0073056A" w:rsidRDefault="00FE1848" w:rsidP="00FA22B2">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A852D6">
        <w:rPr>
          <w:rFonts w:ascii="Arial" w:hAnsi="Arial" w:cs="Arial"/>
          <w:sz w:val="18"/>
          <w:szCs w:val="18"/>
        </w:rPr>
        <w:t>juni</w:t>
      </w:r>
      <w:r w:rsidR="00C55BBF">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C55BBF">
        <w:rPr>
          <w:rFonts w:ascii="Arial" w:hAnsi="Arial" w:cs="Arial"/>
          <w:sz w:val="18"/>
          <w:szCs w:val="18"/>
        </w:rPr>
        <w:t>1</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C55BBF">
        <w:rPr>
          <w:rFonts w:ascii="Arial" w:hAnsi="Arial" w:cs="Arial"/>
          <w:sz w:val="18"/>
          <w:szCs w:val="18"/>
        </w:rPr>
        <w:t>371</w:t>
      </w:r>
      <w:r>
        <w:rPr>
          <w:rFonts w:ascii="Arial" w:hAnsi="Arial" w:cs="Arial"/>
          <w:sz w:val="18"/>
          <w:szCs w:val="18"/>
        </w:rPr>
        <w:t>,</w:t>
      </w:r>
      <w:r w:rsidR="00C55BBF">
        <w:rPr>
          <w:rFonts w:ascii="Arial" w:hAnsi="Arial" w:cs="Arial"/>
          <w:sz w:val="18"/>
          <w:szCs w:val="18"/>
        </w:rPr>
        <w:t>203</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FA22B2">
        <w:rPr>
          <w:rFonts w:ascii="Arial" w:hAnsi="Arial" w:cs="Arial"/>
          <w:sz w:val="18"/>
          <w:szCs w:val="18"/>
        </w:rPr>
        <w:t xml:space="preserve"> Representado un decremento del 7%, respecto del ejercicio 2020.</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A852D6">
        <w:rPr>
          <w:rFonts w:ascii="Arial" w:hAnsi="Arial" w:cs="Arial"/>
          <w:sz w:val="18"/>
          <w:szCs w:val="18"/>
        </w:rPr>
        <w:t>58</w:t>
      </w:r>
      <w:r>
        <w:rPr>
          <w:rFonts w:ascii="Arial" w:hAnsi="Arial" w:cs="Arial"/>
          <w:sz w:val="18"/>
          <w:szCs w:val="18"/>
        </w:rPr>
        <w:t>,</w:t>
      </w:r>
      <w:r w:rsidR="00A852D6">
        <w:rPr>
          <w:rFonts w:ascii="Arial" w:hAnsi="Arial" w:cs="Arial"/>
          <w:sz w:val="18"/>
          <w:szCs w:val="18"/>
        </w:rPr>
        <w:t>130</w:t>
      </w:r>
      <w:r>
        <w:rPr>
          <w:rFonts w:ascii="Arial" w:hAnsi="Arial" w:cs="Arial"/>
          <w:sz w:val="18"/>
          <w:szCs w:val="18"/>
        </w:rPr>
        <w:t>,</w:t>
      </w:r>
      <w:r w:rsidR="00A852D6">
        <w:rPr>
          <w:rFonts w:ascii="Arial" w:hAnsi="Arial" w:cs="Arial"/>
          <w:sz w:val="18"/>
          <w:szCs w:val="18"/>
        </w:rPr>
        <w:t>020</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2165E">
        <w:rPr>
          <w:rFonts w:ascii="Arial" w:hAnsi="Arial" w:cs="Arial"/>
          <w:sz w:val="18"/>
          <w:szCs w:val="18"/>
        </w:rPr>
        <w:t>, observándose una disminución del 1% en este rubro, respecto del mismo periodo del ejercicio 2020</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A852D6">
        <w:rPr>
          <w:rFonts w:ascii="Arial" w:hAnsi="Arial" w:cs="Arial"/>
          <w:sz w:val="18"/>
          <w:szCs w:val="18"/>
        </w:rPr>
        <w:lastRenderedPageBreak/>
        <w:t>10</w:t>
      </w:r>
      <w:r>
        <w:rPr>
          <w:rFonts w:ascii="Arial" w:hAnsi="Arial" w:cs="Arial"/>
          <w:sz w:val="18"/>
          <w:szCs w:val="18"/>
        </w:rPr>
        <w:t>,</w:t>
      </w:r>
      <w:r w:rsidR="00A852D6">
        <w:rPr>
          <w:rFonts w:ascii="Arial" w:hAnsi="Arial" w:cs="Arial"/>
          <w:sz w:val="18"/>
          <w:szCs w:val="18"/>
        </w:rPr>
        <w:t>863</w:t>
      </w:r>
      <w:r>
        <w:rPr>
          <w:rFonts w:ascii="Arial" w:hAnsi="Arial" w:cs="Arial"/>
          <w:sz w:val="18"/>
          <w:szCs w:val="18"/>
        </w:rPr>
        <w:t>,</w:t>
      </w:r>
      <w:r w:rsidR="00A852D6">
        <w:rPr>
          <w:rFonts w:ascii="Arial" w:hAnsi="Arial" w:cs="Arial"/>
          <w:sz w:val="18"/>
          <w:szCs w:val="18"/>
        </w:rPr>
        <w:t>081</w:t>
      </w:r>
      <w:r>
        <w:rPr>
          <w:rFonts w:ascii="Arial" w:hAnsi="Arial" w:cs="Arial"/>
          <w:sz w:val="18"/>
          <w:szCs w:val="18"/>
        </w:rPr>
        <w:t>,</w:t>
      </w:r>
      <w:r w:rsidR="00A852D6">
        <w:rPr>
          <w:rFonts w:ascii="Arial" w:hAnsi="Arial" w:cs="Arial"/>
          <w:sz w:val="18"/>
          <w:szCs w:val="18"/>
        </w:rPr>
        <w:t>814</w:t>
      </w:r>
      <w:r>
        <w:rPr>
          <w:rFonts w:ascii="Arial" w:hAnsi="Arial" w:cs="Arial"/>
          <w:sz w:val="18"/>
          <w:szCs w:val="18"/>
        </w:rPr>
        <w:t xml:space="preserve"> al mes de </w:t>
      </w:r>
      <w:r w:rsidR="00A852D6">
        <w:rPr>
          <w:rFonts w:ascii="Arial" w:hAnsi="Arial" w:cs="Arial"/>
          <w:sz w:val="18"/>
          <w:szCs w:val="18"/>
        </w:rPr>
        <w:t>juni</w:t>
      </w:r>
      <w:r w:rsidR="005D296A">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5D296A">
        <w:rPr>
          <w:rFonts w:ascii="Arial" w:hAnsi="Arial" w:cs="Arial"/>
          <w:sz w:val="18"/>
          <w:szCs w:val="18"/>
        </w:rPr>
        <w:t>1</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2165E">
        <w:rPr>
          <w:rFonts w:ascii="Arial" w:hAnsi="Arial" w:cs="Arial"/>
          <w:sz w:val="18"/>
          <w:szCs w:val="18"/>
        </w:rPr>
        <w:t xml:space="preserve"> Este rubro, respecto al mismo periodo de 2020, presenta un incremento del 3%.</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A852D6">
        <w:rPr>
          <w:rFonts w:ascii="Arial" w:hAnsi="Arial" w:cs="Arial"/>
          <w:sz w:val="18"/>
          <w:szCs w:val="18"/>
        </w:rPr>
        <w:t>5</w:t>
      </w:r>
      <w:r>
        <w:rPr>
          <w:rFonts w:ascii="Arial" w:hAnsi="Arial" w:cs="Arial"/>
          <w:sz w:val="18"/>
          <w:szCs w:val="18"/>
        </w:rPr>
        <w:t>,</w:t>
      </w:r>
      <w:r w:rsidR="00A852D6">
        <w:rPr>
          <w:rFonts w:ascii="Arial" w:hAnsi="Arial" w:cs="Arial"/>
          <w:sz w:val="18"/>
          <w:szCs w:val="18"/>
        </w:rPr>
        <w:t>240</w:t>
      </w:r>
      <w:r>
        <w:rPr>
          <w:rFonts w:ascii="Arial" w:hAnsi="Arial" w:cs="Arial"/>
          <w:sz w:val="18"/>
          <w:szCs w:val="18"/>
        </w:rPr>
        <w:t>,</w:t>
      </w:r>
      <w:r w:rsidR="00A852D6">
        <w:rPr>
          <w:rFonts w:ascii="Arial" w:hAnsi="Arial" w:cs="Arial"/>
          <w:sz w:val="18"/>
          <w:szCs w:val="18"/>
        </w:rPr>
        <w:t>359</w:t>
      </w:r>
      <w:r>
        <w:rPr>
          <w:rFonts w:ascii="Arial" w:hAnsi="Arial" w:cs="Arial"/>
          <w:sz w:val="18"/>
          <w:szCs w:val="18"/>
        </w:rPr>
        <w:t>,</w:t>
      </w:r>
      <w:r w:rsidR="00A852D6">
        <w:rPr>
          <w:rFonts w:ascii="Arial" w:hAnsi="Arial" w:cs="Arial"/>
          <w:sz w:val="18"/>
          <w:szCs w:val="18"/>
        </w:rPr>
        <w:t>368</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703446">
        <w:rPr>
          <w:rFonts w:ascii="Arial" w:hAnsi="Arial" w:cs="Arial"/>
          <w:sz w:val="18"/>
          <w:szCs w:val="18"/>
        </w:rPr>
        <w:t>1</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jun</w:t>
      </w:r>
      <w:r w:rsidR="005D296A">
        <w:rPr>
          <w:rFonts w:ascii="Arial" w:hAnsi="Arial" w:cs="Arial"/>
          <w:sz w:val="18"/>
          <w:szCs w:val="18"/>
        </w:rPr>
        <w:t>o</w:t>
      </w:r>
      <w:r>
        <w:rPr>
          <w:rFonts w:ascii="Arial" w:hAnsi="Arial" w:cs="Arial"/>
          <w:sz w:val="18"/>
          <w:szCs w:val="18"/>
        </w:rPr>
        <w:t xml:space="preserve"> de 20</w:t>
      </w:r>
      <w:r w:rsidR="00B27A40">
        <w:rPr>
          <w:rFonts w:ascii="Arial" w:hAnsi="Arial" w:cs="Arial"/>
          <w:sz w:val="18"/>
          <w:szCs w:val="18"/>
        </w:rPr>
        <w:t>2</w:t>
      </w:r>
      <w:r w:rsidR="005D296A">
        <w:rPr>
          <w:rFonts w:ascii="Arial" w:hAnsi="Arial" w:cs="Arial"/>
          <w:sz w:val="18"/>
          <w:szCs w:val="18"/>
        </w:rPr>
        <w:t>1</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1,905,166,362</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3F4574" w:rsidP="003F4574">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42.8</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941,591,415</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080D6B" w:rsidP="00D10F9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D10F96">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w:t>
            </w:r>
            <w:r w:rsidR="00D10F96">
              <w:rPr>
                <w:rFonts w:ascii="Arial" w:eastAsia="Times New Roman" w:hAnsi="Arial" w:cs="Arial"/>
                <w:color w:val="000000"/>
                <w:sz w:val="18"/>
                <w:szCs w:val="18"/>
                <w:lang w:eastAsia="es-MX"/>
              </w:rPr>
              <w:t>2</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65,146,362</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080D6B" w:rsidP="00D10F9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D10F96">
              <w:rPr>
                <w:rFonts w:ascii="Arial" w:eastAsia="Times New Roman" w:hAnsi="Arial" w:cs="Arial"/>
                <w:color w:val="000000"/>
                <w:sz w:val="18"/>
                <w:szCs w:val="18"/>
                <w:lang w:eastAsia="es-MX"/>
              </w:rPr>
              <w:t>5</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70344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472</w:t>
            </w:r>
            <w:r w:rsidR="005D296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282</w:t>
            </w:r>
            <w:r w:rsidR="005D296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488</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D10F96">
              <w:rPr>
                <w:rFonts w:ascii="Arial" w:eastAsia="Times New Roman" w:hAnsi="Arial" w:cs="Arial"/>
                <w:color w:val="000000"/>
                <w:sz w:val="18"/>
                <w:szCs w:val="18"/>
                <w:lang w:eastAsia="es-MX"/>
              </w:rPr>
              <w:t>0.6</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453,424,338</w:t>
            </w:r>
          </w:p>
        </w:tc>
        <w:tc>
          <w:tcPr>
            <w:tcW w:w="1371" w:type="dxa"/>
            <w:tcBorders>
              <w:top w:val="nil"/>
              <w:left w:val="nil"/>
              <w:bottom w:val="single" w:sz="8" w:space="0" w:color="auto"/>
              <w:right w:val="single" w:sz="8" w:space="0" w:color="auto"/>
            </w:tcBorders>
            <w:shd w:val="clear" w:color="auto" w:fill="auto"/>
            <w:noWrap/>
            <w:vAlign w:val="center"/>
          </w:tcPr>
          <w:p w:rsidR="000B552D"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D10F96">
              <w:rPr>
                <w:rFonts w:ascii="Arial" w:eastAsia="Times New Roman" w:hAnsi="Arial" w:cs="Arial"/>
                <w:color w:val="000000"/>
                <w:sz w:val="18"/>
                <w:szCs w:val="18"/>
                <w:lang w:eastAsia="es-MX"/>
              </w:rPr>
              <w:t>0.2</w:t>
            </w:r>
          </w:p>
        </w:tc>
      </w:tr>
      <w:tr w:rsidR="00E828CB"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tcPr>
          <w:p w:rsidR="00E828CB"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158,396,760</w:t>
            </w:r>
          </w:p>
        </w:tc>
        <w:tc>
          <w:tcPr>
            <w:tcW w:w="1371" w:type="dxa"/>
            <w:tcBorders>
              <w:top w:val="nil"/>
              <w:left w:val="nil"/>
              <w:bottom w:val="single" w:sz="8" w:space="0" w:color="auto"/>
              <w:right w:val="single" w:sz="8" w:space="0" w:color="auto"/>
            </w:tcBorders>
            <w:shd w:val="clear" w:color="auto" w:fill="auto"/>
            <w:noWrap/>
            <w:vAlign w:val="center"/>
          </w:tcPr>
          <w:p w:rsidR="00E828CB" w:rsidRPr="00AE0E84" w:rsidRDefault="00D10F96"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23,335,249</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D10F96">
              <w:rPr>
                <w:rFonts w:ascii="Arial" w:eastAsia="Times New Roman" w:hAnsi="Arial" w:cs="Arial"/>
                <w:color w:val="000000"/>
                <w:sz w:val="18"/>
                <w:szCs w:val="18"/>
                <w:lang w:eastAsia="es-MX"/>
              </w:rPr>
              <w:t>.5</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23,709,949</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D10F96">
              <w:rPr>
                <w:rFonts w:ascii="Arial" w:eastAsia="Times New Roman" w:hAnsi="Arial" w:cs="Arial"/>
                <w:color w:val="000000"/>
                <w:sz w:val="18"/>
                <w:szCs w:val="18"/>
                <w:lang w:eastAsia="es-MX"/>
              </w:rPr>
              <w:t>.5</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703446"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97,986,954</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7D316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D10F96">
              <w:rPr>
                <w:rFonts w:ascii="Arial" w:eastAsia="Times New Roman" w:hAnsi="Arial" w:cs="Arial"/>
                <w:color w:val="000000"/>
                <w:sz w:val="18"/>
                <w:szCs w:val="18"/>
                <w:lang w:eastAsia="es-MX"/>
              </w:rPr>
              <w:t>2</w:t>
            </w:r>
          </w:p>
        </w:tc>
      </w:tr>
      <w:tr w:rsidR="00AE0E84" w:rsidRPr="00AE0E84" w:rsidTr="005D296A">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tcPr>
          <w:p w:rsidR="00AE0E84" w:rsidRPr="00AE0E84" w:rsidRDefault="003F4574" w:rsidP="00A07E0D">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305,236,554</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D10F96"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6.9</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3F4574">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3F4574">
              <w:rPr>
                <w:rFonts w:ascii="Calibri" w:eastAsia="Times New Roman" w:hAnsi="Calibri" w:cs="Calibri"/>
                <w:color w:val="000000"/>
                <w:lang w:eastAsia="es-MX"/>
              </w:rPr>
              <w:t>4</w:t>
            </w:r>
            <w:r w:rsidRPr="00AE0E84">
              <w:rPr>
                <w:rFonts w:ascii="Calibri" w:eastAsia="Times New Roman" w:hAnsi="Calibri" w:cs="Calibri"/>
                <w:color w:val="000000"/>
                <w:lang w:eastAsia="es-MX"/>
              </w:rPr>
              <w:t>,</w:t>
            </w:r>
            <w:r w:rsidR="003F4574">
              <w:rPr>
                <w:rFonts w:ascii="Calibri" w:eastAsia="Times New Roman" w:hAnsi="Calibri" w:cs="Calibri"/>
                <w:color w:val="000000"/>
                <w:lang w:eastAsia="es-MX"/>
              </w:rPr>
              <w:t>446</w:t>
            </w:r>
            <w:r w:rsidRPr="00AE0E84">
              <w:rPr>
                <w:rFonts w:ascii="Calibri" w:eastAsia="Times New Roman" w:hAnsi="Calibri" w:cs="Calibri"/>
                <w:color w:val="000000"/>
                <w:lang w:eastAsia="es-MX"/>
              </w:rPr>
              <w:t>,</w:t>
            </w:r>
            <w:r w:rsidR="003F4574">
              <w:rPr>
                <w:rFonts w:ascii="Calibri" w:eastAsia="Times New Roman" w:hAnsi="Calibri" w:cs="Calibri"/>
                <w:color w:val="000000"/>
                <w:lang w:eastAsia="es-MX"/>
              </w:rPr>
              <w:t>276</w:t>
            </w:r>
            <w:r w:rsidRPr="00AE0E84">
              <w:rPr>
                <w:rFonts w:ascii="Calibri" w:eastAsia="Times New Roman" w:hAnsi="Calibri" w:cs="Calibri"/>
                <w:color w:val="000000"/>
                <w:lang w:eastAsia="es-MX"/>
              </w:rPr>
              <w:t>,</w:t>
            </w:r>
            <w:r w:rsidR="003F4574">
              <w:rPr>
                <w:rFonts w:ascii="Calibri" w:eastAsia="Times New Roman" w:hAnsi="Calibri" w:cs="Calibri"/>
                <w:color w:val="000000"/>
                <w:lang w:eastAsia="es-MX"/>
              </w:rPr>
              <w:t>431</w:t>
            </w:r>
            <w:r w:rsidRPr="00AE0E84">
              <w:rPr>
                <w:rFonts w:ascii="Calibri" w:eastAsia="Times New Roman" w:hAnsi="Calibri" w:cs="Calibri"/>
                <w:color w:val="000000"/>
                <w:lang w:eastAsia="es-MX"/>
              </w:rPr>
              <w:t xml:space="preserve">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D10F96">
        <w:rPr>
          <w:rFonts w:ascii="Arial" w:hAnsi="Arial" w:cs="Arial"/>
          <w:sz w:val="18"/>
          <w:szCs w:val="18"/>
        </w:rPr>
        <w:t>juni</w:t>
      </w:r>
      <w:r w:rsidR="001340E0">
        <w:rPr>
          <w:rFonts w:ascii="Arial" w:hAnsi="Arial" w:cs="Arial"/>
          <w:sz w:val="18"/>
          <w:szCs w:val="18"/>
        </w:rPr>
        <w:t>o</w:t>
      </w:r>
      <w:r>
        <w:rPr>
          <w:rFonts w:ascii="Arial" w:hAnsi="Arial" w:cs="Arial"/>
          <w:sz w:val="18"/>
          <w:szCs w:val="18"/>
        </w:rPr>
        <w:t xml:space="preserve"> del ejercicio 20</w:t>
      </w:r>
      <w:r w:rsidR="001340E0">
        <w:rPr>
          <w:rFonts w:ascii="Arial" w:hAnsi="Arial" w:cs="Arial"/>
          <w:sz w:val="18"/>
          <w:szCs w:val="18"/>
        </w:rPr>
        <w:t>21</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D10F96">
        <w:rPr>
          <w:rFonts w:ascii="Arial" w:hAnsi="Arial" w:cs="Arial"/>
          <w:sz w:val="18"/>
          <w:szCs w:val="18"/>
        </w:rPr>
        <w:t>1,348</w:t>
      </w:r>
      <w:r>
        <w:rPr>
          <w:rFonts w:ascii="Arial" w:hAnsi="Arial" w:cs="Arial"/>
          <w:sz w:val="18"/>
          <w:szCs w:val="18"/>
        </w:rPr>
        <w:t>,</w:t>
      </w:r>
      <w:r w:rsidR="00D10F96">
        <w:rPr>
          <w:rFonts w:ascii="Arial" w:hAnsi="Arial" w:cs="Arial"/>
          <w:sz w:val="18"/>
          <w:szCs w:val="18"/>
        </w:rPr>
        <w:t>947</w:t>
      </w:r>
      <w:r w:rsidR="009F5E29">
        <w:rPr>
          <w:rFonts w:ascii="Arial" w:hAnsi="Arial" w:cs="Arial"/>
          <w:sz w:val="18"/>
          <w:szCs w:val="18"/>
        </w:rPr>
        <w:t>,</w:t>
      </w:r>
      <w:r w:rsidR="00D10F96">
        <w:rPr>
          <w:rFonts w:ascii="Arial" w:hAnsi="Arial" w:cs="Arial"/>
          <w:sz w:val="18"/>
          <w:szCs w:val="18"/>
        </w:rPr>
        <w:t>017</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ED63C8" w:rsidRDefault="00ED63C8"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ED63C8" w:rsidRDefault="000B552D" w:rsidP="00ED63C8">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D10F96">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5F5707">
        <w:rPr>
          <w:rFonts w:ascii="Arial" w:hAnsi="Arial" w:cs="Arial"/>
          <w:sz w:val="18"/>
          <w:szCs w:val="18"/>
        </w:rPr>
        <w:t>1</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D10F96">
        <w:rPr>
          <w:rFonts w:ascii="Arial" w:hAnsi="Arial" w:cs="Arial"/>
          <w:sz w:val="18"/>
          <w:szCs w:val="18"/>
        </w:rPr>
        <w:t>juni</w:t>
      </w:r>
      <w:r w:rsidR="005F5707">
        <w:rPr>
          <w:rFonts w:ascii="Arial" w:hAnsi="Arial" w:cs="Arial"/>
          <w:sz w:val="18"/>
          <w:szCs w:val="18"/>
        </w:rPr>
        <w:t>o</w:t>
      </w:r>
      <w:r w:rsidR="00134F21">
        <w:rPr>
          <w:rFonts w:ascii="Arial" w:hAnsi="Arial" w:cs="Arial"/>
          <w:sz w:val="18"/>
          <w:szCs w:val="18"/>
        </w:rPr>
        <w:t xml:space="preserve"> por este concepto un monto de $ </w:t>
      </w:r>
      <w:r w:rsidR="00D10F96">
        <w:rPr>
          <w:rFonts w:ascii="Arial" w:hAnsi="Arial" w:cs="Arial"/>
          <w:sz w:val="18"/>
          <w:szCs w:val="18"/>
        </w:rPr>
        <w:t>1,196</w:t>
      </w:r>
      <w:r w:rsidR="00134F21">
        <w:rPr>
          <w:rFonts w:ascii="Arial" w:hAnsi="Arial" w:cs="Arial"/>
          <w:sz w:val="18"/>
          <w:szCs w:val="18"/>
        </w:rPr>
        <w:t>,</w:t>
      </w:r>
      <w:r w:rsidR="00D10F96">
        <w:rPr>
          <w:rFonts w:ascii="Arial" w:hAnsi="Arial" w:cs="Arial"/>
          <w:sz w:val="18"/>
          <w:szCs w:val="18"/>
        </w:rPr>
        <w:t>744</w:t>
      </w:r>
      <w:r w:rsidR="00134F21">
        <w:rPr>
          <w:rFonts w:ascii="Arial" w:hAnsi="Arial" w:cs="Arial"/>
          <w:sz w:val="18"/>
          <w:szCs w:val="18"/>
        </w:rPr>
        <w:t>,</w:t>
      </w:r>
      <w:r w:rsidR="00D10F96">
        <w:rPr>
          <w:rFonts w:ascii="Arial" w:hAnsi="Arial" w:cs="Arial"/>
          <w:sz w:val="18"/>
          <w:szCs w:val="18"/>
        </w:rPr>
        <w:t>324</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ED63C8">
        <w:rPr>
          <w:rFonts w:ascii="Arial" w:hAnsi="Arial" w:cs="Arial"/>
          <w:sz w:val="18"/>
          <w:szCs w:val="18"/>
        </w:rPr>
        <w:t xml:space="preserve"> Lo que representa un incremento del 11 % respecto al mismo periodo del ejercicio 2020.</w:t>
      </w:r>
    </w:p>
    <w:p w:rsidR="0083335C" w:rsidRDefault="0083335C" w:rsidP="00ED63C8">
      <w:pPr>
        <w:pStyle w:val="ROMANOS"/>
        <w:tabs>
          <w:tab w:val="clear" w:pos="720"/>
          <w:tab w:val="left" w:pos="284"/>
        </w:tabs>
        <w:spacing w:after="0" w:line="276" w:lineRule="auto"/>
        <w:ind w:left="284" w:firstLine="0"/>
        <w:rPr>
          <w:b/>
          <w:lang w:val="es-MX"/>
        </w:rPr>
      </w:pPr>
    </w:p>
    <w:p w:rsidR="00ED63C8" w:rsidRPr="00ED63C8" w:rsidRDefault="00ED63C8" w:rsidP="00ED63C8">
      <w:pPr>
        <w:pStyle w:val="ROMANOS"/>
        <w:tabs>
          <w:tab w:val="clear" w:pos="720"/>
          <w:tab w:val="left" w:pos="284"/>
        </w:tabs>
        <w:spacing w:after="0" w:line="276" w:lineRule="auto"/>
        <w:ind w:left="284" w:firstLine="0"/>
        <w:rPr>
          <w:b/>
          <w:lang w:val="es-MX"/>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ED63C8" w:rsidRDefault="00134F21" w:rsidP="00ED63C8">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5F5707">
        <w:rPr>
          <w:rFonts w:ascii="Arial" w:hAnsi="Arial" w:cs="Arial"/>
          <w:sz w:val="18"/>
          <w:szCs w:val="18"/>
        </w:rPr>
        <w:t>7</w:t>
      </w:r>
      <w:r w:rsidR="00D10F96">
        <w:rPr>
          <w:rFonts w:ascii="Arial" w:hAnsi="Arial" w:cs="Arial"/>
          <w:sz w:val="18"/>
          <w:szCs w:val="18"/>
        </w:rPr>
        <w:t>8</w:t>
      </w:r>
      <w:r>
        <w:rPr>
          <w:rFonts w:ascii="Arial" w:hAnsi="Arial" w:cs="Arial"/>
          <w:sz w:val="18"/>
          <w:szCs w:val="18"/>
        </w:rPr>
        <w:t>,</w:t>
      </w:r>
      <w:r w:rsidR="00D10F96">
        <w:rPr>
          <w:rFonts w:ascii="Arial" w:hAnsi="Arial" w:cs="Arial"/>
          <w:sz w:val="18"/>
          <w:szCs w:val="18"/>
        </w:rPr>
        <w:t>407</w:t>
      </w:r>
      <w:r>
        <w:rPr>
          <w:rFonts w:ascii="Arial" w:hAnsi="Arial" w:cs="Arial"/>
          <w:sz w:val="18"/>
          <w:szCs w:val="18"/>
        </w:rPr>
        <w:t>,</w:t>
      </w:r>
      <w:r w:rsidR="00E57C06">
        <w:rPr>
          <w:rFonts w:ascii="Arial" w:hAnsi="Arial" w:cs="Arial"/>
          <w:sz w:val="18"/>
          <w:szCs w:val="18"/>
        </w:rPr>
        <w:t>961</w:t>
      </w:r>
      <w:r w:rsidRPr="0073056A">
        <w:rPr>
          <w:rFonts w:ascii="Arial" w:hAnsi="Arial" w:cs="Arial"/>
          <w:sz w:val="18"/>
          <w:szCs w:val="18"/>
        </w:rPr>
        <w:t>.</w:t>
      </w:r>
      <w:r w:rsidR="00ED63C8">
        <w:rPr>
          <w:rFonts w:ascii="Arial" w:hAnsi="Arial" w:cs="Arial"/>
          <w:sz w:val="18"/>
          <w:szCs w:val="18"/>
        </w:rPr>
        <w:t xml:space="preserve"> Lo que representa un incremento del 25 % respecto al mismo periodo del ejercicio 2020.</w:t>
      </w:r>
    </w:p>
    <w:p w:rsidR="00A54D75" w:rsidRDefault="00A54D75" w:rsidP="00ED63C8">
      <w:pPr>
        <w:pStyle w:val="ROMANOS"/>
        <w:tabs>
          <w:tab w:val="clear" w:pos="720"/>
          <w:tab w:val="left" w:pos="284"/>
        </w:tabs>
        <w:spacing w:after="0" w:line="276" w:lineRule="auto"/>
        <w:ind w:left="284" w:firstLine="0"/>
        <w:rPr>
          <w:b/>
          <w:lang w:val="es-MX"/>
        </w:rPr>
      </w:pPr>
    </w:p>
    <w:p w:rsidR="00ED63C8" w:rsidRPr="00ED63C8" w:rsidRDefault="00ED63C8" w:rsidP="00ED63C8">
      <w:pPr>
        <w:pStyle w:val="ROMANOS"/>
        <w:tabs>
          <w:tab w:val="clear" w:pos="720"/>
          <w:tab w:val="left" w:pos="284"/>
        </w:tabs>
        <w:spacing w:after="0" w:line="276" w:lineRule="auto"/>
        <w:ind w:left="284" w:firstLine="0"/>
        <w:rPr>
          <w:b/>
          <w:lang w:val="es-MX"/>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E57C06">
        <w:rPr>
          <w:rFonts w:ascii="Arial" w:hAnsi="Arial" w:cs="Arial"/>
          <w:sz w:val="18"/>
          <w:szCs w:val="18"/>
        </w:rPr>
        <w:t>juni</w:t>
      </w:r>
      <w:r w:rsidR="005F5707">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es de $ </w:t>
      </w:r>
      <w:r w:rsidR="00E57C06">
        <w:rPr>
          <w:rFonts w:ascii="Arial" w:hAnsi="Arial" w:cs="Arial"/>
          <w:sz w:val="18"/>
          <w:szCs w:val="18"/>
        </w:rPr>
        <w:t>99</w:t>
      </w:r>
      <w:r w:rsidR="00BA3B1D">
        <w:rPr>
          <w:rFonts w:ascii="Arial" w:hAnsi="Arial" w:cs="Arial"/>
          <w:sz w:val="18"/>
          <w:szCs w:val="18"/>
        </w:rPr>
        <w:t>,</w:t>
      </w:r>
      <w:r w:rsidR="00E57C06">
        <w:rPr>
          <w:rFonts w:ascii="Arial" w:hAnsi="Arial" w:cs="Arial"/>
          <w:sz w:val="18"/>
          <w:szCs w:val="18"/>
        </w:rPr>
        <w:t>578</w:t>
      </w:r>
      <w:r w:rsidR="00BA3B1D">
        <w:rPr>
          <w:rFonts w:ascii="Arial" w:hAnsi="Arial" w:cs="Arial"/>
          <w:sz w:val="18"/>
          <w:szCs w:val="18"/>
        </w:rPr>
        <w:t>,</w:t>
      </w:r>
      <w:r w:rsidR="00E57C06">
        <w:rPr>
          <w:rFonts w:ascii="Arial" w:hAnsi="Arial" w:cs="Arial"/>
          <w:sz w:val="18"/>
          <w:szCs w:val="18"/>
        </w:rPr>
        <w:t>823</w:t>
      </w:r>
      <w:r w:rsidRPr="0073056A">
        <w:rPr>
          <w:rFonts w:ascii="Arial" w:hAnsi="Arial" w:cs="Arial"/>
          <w:sz w:val="18"/>
          <w:szCs w:val="18"/>
        </w:rPr>
        <w:t>.</w:t>
      </w:r>
      <w:r w:rsidR="00ED63C8">
        <w:rPr>
          <w:rFonts w:ascii="Arial" w:hAnsi="Arial" w:cs="Arial"/>
          <w:sz w:val="18"/>
          <w:szCs w:val="18"/>
        </w:rPr>
        <w:t xml:space="preserve"> Lo que representa un incremento del </w:t>
      </w:r>
      <w:r w:rsidR="00092E54">
        <w:rPr>
          <w:rFonts w:ascii="Arial" w:hAnsi="Arial" w:cs="Arial"/>
          <w:sz w:val="18"/>
          <w:szCs w:val="18"/>
        </w:rPr>
        <w:t>61</w:t>
      </w:r>
      <w:r w:rsidR="00ED63C8">
        <w:rPr>
          <w:rFonts w:ascii="Arial" w:hAnsi="Arial" w:cs="Arial"/>
          <w:sz w:val="18"/>
          <w:szCs w:val="18"/>
        </w:rPr>
        <w:t>% respecto al mismo periodo del ejercicio 2020.</w:t>
      </w:r>
    </w:p>
    <w:p w:rsidR="00332091" w:rsidRDefault="00332091" w:rsidP="00ED63C8">
      <w:pPr>
        <w:pStyle w:val="ROMANOS"/>
        <w:tabs>
          <w:tab w:val="clear" w:pos="720"/>
          <w:tab w:val="left" w:pos="284"/>
        </w:tabs>
        <w:spacing w:after="0" w:line="276" w:lineRule="auto"/>
        <w:ind w:left="284" w:firstLine="0"/>
        <w:rPr>
          <w:b/>
          <w:lang w:val="es-MX"/>
        </w:rPr>
      </w:pPr>
    </w:p>
    <w:p w:rsidR="00ED63C8" w:rsidRPr="00ED63C8" w:rsidRDefault="00ED63C8" w:rsidP="00ED63C8">
      <w:pPr>
        <w:pStyle w:val="ROMANOS"/>
        <w:tabs>
          <w:tab w:val="clear" w:pos="720"/>
          <w:tab w:val="left" w:pos="284"/>
        </w:tabs>
        <w:spacing w:after="0" w:line="276" w:lineRule="auto"/>
        <w:ind w:left="284" w:firstLine="0"/>
        <w:rPr>
          <w:b/>
          <w:lang w:val="es-MX"/>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092E54" w:rsidRDefault="00F40A84" w:rsidP="00092E54">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w:t>
      </w:r>
      <w:r w:rsidR="00E06CA7">
        <w:rPr>
          <w:rFonts w:ascii="Arial" w:hAnsi="Arial" w:cs="Arial"/>
          <w:sz w:val="18"/>
          <w:szCs w:val="18"/>
        </w:rPr>
        <w:t>ntidades del Sector Paraestatal,</w:t>
      </w:r>
      <w:r>
        <w:rPr>
          <w:rFonts w:ascii="Arial" w:hAnsi="Arial" w:cs="Arial"/>
          <w:sz w:val="18"/>
          <w:szCs w:val="18"/>
        </w:rPr>
        <w:t xml:space="preserve"> </w:t>
      </w:r>
      <w:proofErr w:type="gramStart"/>
      <w:r>
        <w:rPr>
          <w:rFonts w:ascii="Arial" w:hAnsi="Arial" w:cs="Arial"/>
          <w:sz w:val="18"/>
          <w:szCs w:val="18"/>
        </w:rPr>
        <w:t>que</w:t>
      </w:r>
      <w:proofErr w:type="gramEnd"/>
      <w:r>
        <w:rPr>
          <w:rFonts w:ascii="Arial" w:hAnsi="Arial" w:cs="Arial"/>
          <w:sz w:val="18"/>
          <w:szCs w:val="18"/>
        </w:rPr>
        <w:t xml:space="preserve"> al mes de </w:t>
      </w:r>
      <w:r w:rsidR="00E57C06">
        <w:rPr>
          <w:rFonts w:ascii="Arial" w:hAnsi="Arial" w:cs="Arial"/>
          <w:sz w:val="18"/>
          <w:szCs w:val="18"/>
        </w:rPr>
        <w:t>jun</w:t>
      </w:r>
      <w:r w:rsidR="00125004">
        <w:rPr>
          <w:rFonts w:ascii="Arial" w:hAnsi="Arial" w:cs="Arial"/>
          <w:sz w:val="18"/>
          <w:szCs w:val="18"/>
        </w:rPr>
        <w:t>i</w:t>
      </w:r>
      <w:r w:rsidR="005F5707">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5F5707">
        <w:rPr>
          <w:rFonts w:ascii="Arial" w:hAnsi="Arial" w:cs="Arial"/>
          <w:sz w:val="18"/>
          <w:szCs w:val="18"/>
        </w:rPr>
        <w:t>1</w:t>
      </w:r>
      <w:r>
        <w:rPr>
          <w:rFonts w:ascii="Arial" w:hAnsi="Arial" w:cs="Arial"/>
          <w:sz w:val="18"/>
          <w:szCs w:val="18"/>
        </w:rPr>
        <w:t xml:space="preserve">, observan un monto de $ </w:t>
      </w:r>
      <w:r w:rsidR="00125004">
        <w:rPr>
          <w:rFonts w:ascii="Arial" w:hAnsi="Arial" w:cs="Arial"/>
          <w:sz w:val="18"/>
          <w:szCs w:val="18"/>
        </w:rPr>
        <w:t>6</w:t>
      </w:r>
      <w:r w:rsidR="001A78A4">
        <w:rPr>
          <w:rFonts w:ascii="Arial" w:hAnsi="Arial" w:cs="Arial"/>
          <w:sz w:val="18"/>
          <w:szCs w:val="18"/>
        </w:rPr>
        <w:t>,</w:t>
      </w:r>
      <w:r w:rsidR="00125004">
        <w:rPr>
          <w:rFonts w:ascii="Arial" w:hAnsi="Arial" w:cs="Arial"/>
          <w:sz w:val="18"/>
          <w:szCs w:val="18"/>
        </w:rPr>
        <w:t>099</w:t>
      </w:r>
      <w:r>
        <w:rPr>
          <w:rFonts w:ascii="Arial" w:hAnsi="Arial" w:cs="Arial"/>
          <w:sz w:val="18"/>
          <w:szCs w:val="18"/>
        </w:rPr>
        <w:t>,</w:t>
      </w:r>
      <w:r w:rsidR="00125004">
        <w:rPr>
          <w:rFonts w:ascii="Arial" w:hAnsi="Arial" w:cs="Arial"/>
          <w:sz w:val="18"/>
          <w:szCs w:val="18"/>
        </w:rPr>
        <w:t>718</w:t>
      </w:r>
      <w:r>
        <w:rPr>
          <w:rFonts w:ascii="Arial" w:hAnsi="Arial" w:cs="Arial"/>
          <w:sz w:val="18"/>
          <w:szCs w:val="18"/>
        </w:rPr>
        <w:t>,</w:t>
      </w:r>
      <w:r w:rsidR="00125004">
        <w:rPr>
          <w:rFonts w:ascii="Arial" w:hAnsi="Arial" w:cs="Arial"/>
          <w:sz w:val="18"/>
          <w:szCs w:val="18"/>
        </w:rPr>
        <w:t>346</w:t>
      </w:r>
      <w:r>
        <w:rPr>
          <w:rFonts w:ascii="Arial" w:hAnsi="Arial" w:cs="Arial"/>
          <w:sz w:val="18"/>
          <w:szCs w:val="18"/>
        </w:rPr>
        <w:t xml:space="preserve"> de los cuales los principales sectores que reciben estas asignaciones son el sector educativo al cual le corresponde el </w:t>
      </w:r>
      <w:r w:rsidR="00E514F6">
        <w:rPr>
          <w:rFonts w:ascii="Arial" w:hAnsi="Arial" w:cs="Arial"/>
          <w:sz w:val="18"/>
          <w:szCs w:val="18"/>
        </w:rPr>
        <w:t>5</w:t>
      </w:r>
      <w:r w:rsidR="00125004">
        <w:rPr>
          <w:rFonts w:ascii="Arial" w:hAnsi="Arial" w:cs="Arial"/>
          <w:sz w:val="18"/>
          <w:szCs w:val="18"/>
        </w:rPr>
        <w:t>7</w:t>
      </w:r>
      <w:r>
        <w:rPr>
          <w:rFonts w:ascii="Arial" w:hAnsi="Arial" w:cs="Arial"/>
          <w:sz w:val="18"/>
          <w:szCs w:val="18"/>
        </w:rPr>
        <w:t xml:space="preserve">% y el sector salud con un </w:t>
      </w:r>
      <w:r w:rsidR="00125004">
        <w:rPr>
          <w:rFonts w:ascii="Arial" w:hAnsi="Arial" w:cs="Arial"/>
          <w:sz w:val="18"/>
          <w:szCs w:val="18"/>
        </w:rPr>
        <w:t>37</w:t>
      </w:r>
      <w:r>
        <w:rPr>
          <w:rFonts w:ascii="Arial" w:hAnsi="Arial" w:cs="Arial"/>
          <w:sz w:val="18"/>
          <w:szCs w:val="18"/>
        </w:rPr>
        <w:t xml:space="preserve">% y el restante </w:t>
      </w:r>
      <w:r w:rsidR="00125004">
        <w:rPr>
          <w:rFonts w:ascii="Arial" w:hAnsi="Arial" w:cs="Arial"/>
          <w:sz w:val="18"/>
          <w:szCs w:val="18"/>
        </w:rPr>
        <w:t>6</w:t>
      </w:r>
      <w:r>
        <w:rPr>
          <w:rFonts w:ascii="Arial" w:hAnsi="Arial" w:cs="Arial"/>
          <w:sz w:val="18"/>
          <w:szCs w:val="18"/>
        </w:rPr>
        <w:t>% a otros organismos del sector público</w:t>
      </w:r>
      <w:r w:rsidR="00FF6FFD">
        <w:rPr>
          <w:rFonts w:ascii="Arial" w:hAnsi="Arial" w:cs="Arial"/>
          <w:sz w:val="18"/>
          <w:szCs w:val="18"/>
        </w:rPr>
        <w:t>.</w:t>
      </w:r>
      <w:r w:rsidR="00092E54">
        <w:rPr>
          <w:rFonts w:ascii="Arial" w:hAnsi="Arial" w:cs="Arial"/>
          <w:sz w:val="18"/>
          <w:szCs w:val="18"/>
        </w:rPr>
        <w:t xml:space="preserve"> Lo que en su conjunto representa un incremento del 2% respecto al mismo periodo del ejercicio 2020.</w:t>
      </w:r>
    </w:p>
    <w:p w:rsidR="00CB45AD" w:rsidRDefault="00CB45AD" w:rsidP="00CB45AD">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ED63C8" w:rsidRDefault="00ED63C8"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125004">
        <w:rPr>
          <w:rFonts w:ascii="Arial" w:hAnsi="Arial" w:cs="Arial"/>
          <w:sz w:val="18"/>
          <w:szCs w:val="18"/>
        </w:rPr>
        <w:t>juni</w:t>
      </w:r>
      <w:r w:rsidR="00E514F6">
        <w:rPr>
          <w:rFonts w:ascii="Arial" w:hAnsi="Arial" w:cs="Arial"/>
          <w:sz w:val="18"/>
          <w:szCs w:val="18"/>
        </w:rPr>
        <w:t>o</w:t>
      </w:r>
      <w:r>
        <w:rPr>
          <w:rFonts w:ascii="Arial" w:hAnsi="Arial" w:cs="Arial"/>
          <w:sz w:val="18"/>
          <w:szCs w:val="18"/>
        </w:rPr>
        <w:t xml:space="preserve"> de 20</w:t>
      </w:r>
      <w:r w:rsidR="005F4F77">
        <w:rPr>
          <w:rFonts w:ascii="Arial" w:hAnsi="Arial" w:cs="Arial"/>
          <w:sz w:val="18"/>
          <w:szCs w:val="18"/>
        </w:rPr>
        <w:t>2</w:t>
      </w:r>
      <w:r w:rsidR="00E514F6">
        <w:rPr>
          <w:rFonts w:ascii="Arial" w:hAnsi="Arial" w:cs="Arial"/>
          <w:sz w:val="18"/>
          <w:szCs w:val="18"/>
        </w:rPr>
        <w:t>1</w:t>
      </w:r>
      <w:r>
        <w:rPr>
          <w:rFonts w:ascii="Arial" w:hAnsi="Arial" w:cs="Arial"/>
          <w:sz w:val="18"/>
          <w:szCs w:val="18"/>
        </w:rPr>
        <w:t xml:space="preserve"> es de $ </w:t>
      </w:r>
      <w:r w:rsidR="00125004">
        <w:rPr>
          <w:rFonts w:ascii="Arial" w:hAnsi="Arial" w:cs="Arial"/>
          <w:sz w:val="18"/>
          <w:szCs w:val="18"/>
        </w:rPr>
        <w:t>1,603</w:t>
      </w:r>
      <w:r>
        <w:rPr>
          <w:rFonts w:ascii="Arial" w:hAnsi="Arial" w:cs="Arial"/>
          <w:sz w:val="18"/>
          <w:szCs w:val="18"/>
        </w:rPr>
        <w:t>,</w:t>
      </w:r>
      <w:r w:rsidR="00125004">
        <w:rPr>
          <w:rFonts w:ascii="Arial" w:hAnsi="Arial" w:cs="Arial"/>
          <w:sz w:val="18"/>
          <w:szCs w:val="18"/>
        </w:rPr>
        <w:t>076</w:t>
      </w:r>
      <w:r>
        <w:rPr>
          <w:rFonts w:ascii="Arial" w:hAnsi="Arial" w:cs="Arial"/>
          <w:sz w:val="18"/>
          <w:szCs w:val="18"/>
        </w:rPr>
        <w:t>,</w:t>
      </w:r>
      <w:r w:rsidR="00125004">
        <w:rPr>
          <w:rFonts w:ascii="Arial" w:hAnsi="Arial" w:cs="Arial"/>
          <w:sz w:val="18"/>
          <w:szCs w:val="18"/>
        </w:rPr>
        <w:t>607</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125004">
        <w:rPr>
          <w:rFonts w:ascii="Arial" w:hAnsi="Arial" w:cs="Arial"/>
          <w:sz w:val="18"/>
          <w:szCs w:val="18"/>
        </w:rPr>
        <w:t>segundo</w:t>
      </w:r>
      <w:r>
        <w:rPr>
          <w:rFonts w:ascii="Arial" w:hAnsi="Arial" w:cs="Arial"/>
          <w:sz w:val="18"/>
          <w:szCs w:val="18"/>
        </w:rPr>
        <w:t xml:space="preserve"> ajuste trimestral. Los cuales al </w:t>
      </w:r>
      <w:r w:rsidRPr="00DE62C8">
        <w:rPr>
          <w:rFonts w:ascii="Arial" w:hAnsi="Arial" w:cs="Arial"/>
          <w:sz w:val="18"/>
          <w:szCs w:val="18"/>
        </w:rPr>
        <w:t>3</w:t>
      </w:r>
      <w:r w:rsidR="00125004">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125004">
        <w:rPr>
          <w:rFonts w:ascii="Arial" w:hAnsi="Arial" w:cs="Arial"/>
          <w:sz w:val="18"/>
          <w:szCs w:val="18"/>
        </w:rPr>
        <w:t>juni</w:t>
      </w:r>
      <w:r w:rsidR="00E514F6">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092E54">
        <w:rPr>
          <w:rFonts w:ascii="Arial" w:hAnsi="Arial" w:cs="Arial"/>
          <w:sz w:val="18"/>
          <w:szCs w:val="18"/>
        </w:rPr>
        <w:t xml:space="preserve"> Observándose una variación positiva del 3% respecto a 2020.</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8A4453">
        <w:rPr>
          <w:rFonts w:ascii="Arial" w:hAnsi="Arial" w:cs="Arial"/>
          <w:sz w:val="18"/>
          <w:szCs w:val="18"/>
        </w:rPr>
        <w:t>juni</w:t>
      </w:r>
      <w:r w:rsidR="00E514F6">
        <w:rPr>
          <w:rFonts w:ascii="Arial" w:hAnsi="Arial" w:cs="Arial"/>
          <w:sz w:val="18"/>
          <w:szCs w:val="18"/>
        </w:rPr>
        <w:t>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117011">
        <w:rPr>
          <w:rFonts w:ascii="Arial" w:hAnsi="Arial" w:cs="Arial"/>
          <w:sz w:val="18"/>
          <w:szCs w:val="18"/>
        </w:rPr>
        <w:t>1</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8A4453">
        <w:rPr>
          <w:rFonts w:ascii="Arial" w:hAnsi="Arial" w:cs="Arial"/>
          <w:sz w:val="18"/>
          <w:szCs w:val="18"/>
        </w:rPr>
        <w:t>1,6</w:t>
      </w:r>
      <w:r w:rsidR="00E06CA7">
        <w:rPr>
          <w:rFonts w:ascii="Arial" w:hAnsi="Arial" w:cs="Arial"/>
          <w:sz w:val="18"/>
          <w:szCs w:val="18"/>
        </w:rPr>
        <w:t>78</w:t>
      </w:r>
      <w:r>
        <w:rPr>
          <w:rFonts w:ascii="Arial" w:eastAsia="Times New Roman" w:hAnsi="Arial" w:cs="Arial"/>
          <w:bCs/>
          <w:sz w:val="18"/>
          <w:szCs w:val="18"/>
          <w:lang w:eastAsia="es-MX"/>
        </w:rPr>
        <w:t>,</w:t>
      </w:r>
      <w:r w:rsidR="00E06CA7">
        <w:rPr>
          <w:rFonts w:ascii="Arial" w:eastAsia="Times New Roman" w:hAnsi="Arial" w:cs="Arial"/>
          <w:bCs/>
          <w:sz w:val="18"/>
          <w:szCs w:val="18"/>
          <w:lang w:eastAsia="es-MX"/>
        </w:rPr>
        <w:t>935</w:t>
      </w:r>
      <w:r>
        <w:rPr>
          <w:rFonts w:ascii="Arial" w:eastAsia="Times New Roman" w:hAnsi="Arial" w:cs="Arial"/>
          <w:bCs/>
          <w:sz w:val="18"/>
          <w:szCs w:val="18"/>
          <w:lang w:eastAsia="es-MX"/>
        </w:rPr>
        <w:t>,</w:t>
      </w:r>
      <w:r w:rsidR="00E06CA7">
        <w:rPr>
          <w:rFonts w:ascii="Arial" w:eastAsia="Times New Roman" w:hAnsi="Arial" w:cs="Arial"/>
          <w:bCs/>
          <w:sz w:val="18"/>
          <w:szCs w:val="18"/>
          <w:lang w:eastAsia="es-MX"/>
        </w:rPr>
        <w:t>013</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A4453">
        <w:rPr>
          <w:lang w:val="es-MX"/>
        </w:rPr>
        <w:t>de</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A4453">
        <w:rPr>
          <w:lang w:val="es-MX"/>
        </w:rPr>
        <w:t xml:space="preserve"> </w:t>
      </w:r>
      <w:r w:rsidR="009D2097">
        <w:rPr>
          <w:lang w:val="es-MX"/>
        </w:rPr>
        <w:t>-</w:t>
      </w:r>
      <w:r w:rsidR="00837D06">
        <w:rPr>
          <w:lang w:val="es-MX"/>
        </w:rPr>
        <w:t>1</w:t>
      </w:r>
      <w:r w:rsidR="00AC2CB6">
        <w:rPr>
          <w:lang w:val="es-MX"/>
        </w:rPr>
        <w:t>,</w:t>
      </w:r>
      <w:r w:rsidR="00837D06">
        <w:rPr>
          <w:lang w:val="es-MX"/>
        </w:rPr>
        <w:t>803</w:t>
      </w:r>
      <w:r w:rsidR="00AC2CB6">
        <w:rPr>
          <w:lang w:val="es-MX"/>
        </w:rPr>
        <w:t>,</w:t>
      </w:r>
      <w:r w:rsidR="00837D06">
        <w:rPr>
          <w:lang w:val="es-MX"/>
        </w:rPr>
        <w:t>261,257 lo que representa una variación porcentual del -</w:t>
      </w:r>
      <w:r w:rsidR="004B113D">
        <w:rPr>
          <w:lang w:val="es-MX"/>
        </w:rPr>
        <w:t>342</w:t>
      </w:r>
      <w:r w:rsidR="00837D06">
        <w:rPr>
          <w:lang w:val="es-MX"/>
        </w:rPr>
        <w:t>% respecto al mismo periodo de 2020, integrado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4B113D" w:rsidRDefault="008D7129" w:rsidP="004B113D">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DA4A42">
        <w:rPr>
          <w:lang w:val="es-MX"/>
        </w:rPr>
        <w:t>1,603</w:t>
      </w:r>
      <w:r>
        <w:rPr>
          <w:lang w:val="es-MX"/>
        </w:rPr>
        <w:t>,</w:t>
      </w:r>
      <w:r w:rsidR="00DA4A42">
        <w:rPr>
          <w:lang w:val="es-MX"/>
        </w:rPr>
        <w:t>076</w:t>
      </w:r>
      <w:r>
        <w:rPr>
          <w:lang w:val="es-MX"/>
        </w:rPr>
        <w:t>,</w:t>
      </w:r>
      <w:r w:rsidR="00DA4A42">
        <w:rPr>
          <w:lang w:val="es-MX"/>
        </w:rPr>
        <w:t>607</w:t>
      </w:r>
      <w:r w:rsidR="004B113D">
        <w:rPr>
          <w:lang w:val="es-MX"/>
        </w:rPr>
        <w:t>, lo que represent</w:t>
      </w:r>
      <w:r w:rsidR="00253C9A">
        <w:rPr>
          <w:lang w:val="es-MX"/>
        </w:rPr>
        <w:t>a una variación porcentual del 3</w:t>
      </w:r>
      <w:r w:rsidR="004B113D">
        <w:rPr>
          <w:lang w:val="es-MX"/>
        </w:rPr>
        <w:t>% respecto al ejercicio 2020.</w:t>
      </w:r>
    </w:p>
    <w:p w:rsidR="004B113D" w:rsidRPr="00D71A33" w:rsidRDefault="004B113D" w:rsidP="004B113D">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253C9A" w:rsidRDefault="008D7129" w:rsidP="00253C9A">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DA4A42">
        <w:rPr>
          <w:lang w:val="es-MX"/>
        </w:rPr>
        <w:t>junio</w:t>
      </w:r>
      <w:r>
        <w:rPr>
          <w:lang w:val="es-MX"/>
        </w:rPr>
        <w:t xml:space="preserve"> un importe de </w:t>
      </w:r>
      <w:r w:rsidRPr="004466A7">
        <w:rPr>
          <w:lang w:val="es-MX"/>
        </w:rPr>
        <w:t>$</w:t>
      </w:r>
      <w:r>
        <w:rPr>
          <w:lang w:val="es-MX"/>
        </w:rPr>
        <w:t xml:space="preserve"> </w:t>
      </w:r>
      <w:r w:rsidR="009D2097">
        <w:rPr>
          <w:lang w:val="es-MX"/>
        </w:rPr>
        <w:t>-</w:t>
      </w:r>
      <w:r w:rsidR="00253C9A">
        <w:rPr>
          <w:lang w:val="es-MX"/>
        </w:rPr>
        <w:t>722</w:t>
      </w:r>
      <w:r>
        <w:rPr>
          <w:lang w:val="es-MX"/>
        </w:rPr>
        <w:t>,</w:t>
      </w:r>
      <w:r w:rsidR="00253C9A">
        <w:rPr>
          <w:lang w:val="es-MX"/>
        </w:rPr>
        <w:t>398</w:t>
      </w:r>
      <w:r>
        <w:rPr>
          <w:lang w:val="es-MX"/>
        </w:rPr>
        <w:t>,</w:t>
      </w:r>
      <w:r w:rsidR="00253C9A">
        <w:rPr>
          <w:lang w:val="es-MX"/>
        </w:rPr>
        <w:t>217, lo que representa una variación significativa respecto al ejercicio 2020.</w:t>
      </w:r>
    </w:p>
    <w:p w:rsidR="00253C9A" w:rsidRPr="00D71A33" w:rsidRDefault="00253C9A" w:rsidP="00253C9A">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253C9A">
        <w:rPr>
          <w:lang w:val="es-MX"/>
        </w:rPr>
        <w:t>0</w:t>
      </w:r>
      <w:r w:rsidRPr="00DA18AC">
        <w:rPr>
          <w:lang w:val="es-MX"/>
        </w:rPr>
        <w:t xml:space="preserve"> de </w:t>
      </w:r>
      <w:r w:rsidR="00DA4A42">
        <w:rPr>
          <w:lang w:val="es-MX"/>
        </w:rPr>
        <w:t>junio</w:t>
      </w:r>
      <w:r w:rsidRPr="00DA18AC">
        <w:rPr>
          <w:lang w:val="es-MX"/>
        </w:rPr>
        <w:t xml:space="preserve"> de 20</w:t>
      </w:r>
      <w:r w:rsidR="00466C1E">
        <w:rPr>
          <w:lang w:val="es-MX"/>
        </w:rPr>
        <w:t>2</w:t>
      </w:r>
      <w:r w:rsidR="005907A0">
        <w:rPr>
          <w:lang w:val="es-MX"/>
        </w:rPr>
        <w:t>1</w:t>
      </w:r>
      <w:r w:rsidRPr="00DA18AC">
        <w:rPr>
          <w:lang w:val="es-MX"/>
        </w:rPr>
        <w:t xml:space="preserve"> de $ </w:t>
      </w:r>
      <w:r w:rsidR="009743B6">
        <w:rPr>
          <w:lang w:val="es-MX"/>
        </w:rPr>
        <w:t>-</w:t>
      </w:r>
      <w:r w:rsidR="00253C9A">
        <w:rPr>
          <w:lang w:val="es-MX"/>
        </w:rPr>
        <w:t>2</w:t>
      </w:r>
      <w:r w:rsidR="00DA4A42">
        <w:rPr>
          <w:lang w:val="es-MX"/>
        </w:rPr>
        <w:t>,</w:t>
      </w:r>
      <w:r w:rsidR="00253C9A">
        <w:rPr>
          <w:lang w:val="es-MX"/>
        </w:rPr>
        <w:t>683</w:t>
      </w:r>
      <w:r w:rsidRPr="00DA18AC">
        <w:rPr>
          <w:lang w:val="es-MX"/>
        </w:rPr>
        <w:t>,</w:t>
      </w:r>
      <w:r w:rsidR="00253C9A">
        <w:rPr>
          <w:lang w:val="es-MX"/>
        </w:rPr>
        <w:t>939</w:t>
      </w:r>
      <w:r w:rsidRPr="00DA18AC">
        <w:rPr>
          <w:lang w:val="es-MX"/>
        </w:rPr>
        <w:t>,</w:t>
      </w:r>
      <w:r w:rsidR="00253C9A">
        <w:rPr>
          <w:lang w:val="es-MX"/>
        </w:rPr>
        <w:t>647</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BB7BD5" w:rsidP="00A54D75">
      <w:pPr>
        <w:tabs>
          <w:tab w:val="left" w:pos="284"/>
        </w:tabs>
        <w:spacing w:after="0"/>
        <w:ind w:left="284"/>
        <w:jc w:val="both"/>
        <w:rPr>
          <w:rFonts w:ascii="Arial" w:hAnsi="Arial" w:cs="Arial"/>
          <w:sz w:val="18"/>
          <w:szCs w:val="18"/>
        </w:rPr>
      </w:pPr>
      <w:r>
        <w:object w:dxaOrig="25925" w:dyaOrig="13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89.25pt;height:471pt" o:ole="">
            <v:imagedata r:id="rId8" o:title=""/>
          </v:shape>
          <o:OLEObject Type="Embed" ProgID="Excel.Sheet.12" ShapeID="_x0000_i1032" DrawAspect="Content" ObjectID="_1688975771" r:id="rId9"/>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225B6D" w:rsidP="006942ED">
      <w:pPr>
        <w:rPr>
          <w:lang w:eastAsia="es-ES"/>
        </w:rPr>
      </w:pPr>
      <w:r>
        <w:rPr>
          <w:noProof/>
          <w:szCs w:val="18"/>
          <w:lang w:eastAsia="es-MX"/>
        </w:rPr>
        <w:object w:dxaOrig="1440" w:dyaOrig="1440">
          <v:shape id="_x0000_s1046" type="#_x0000_t75" style="position:absolute;margin-left:34.5pt;margin-top:22.45pt;width:682.4pt;height:291.85pt;z-index:251663360">
            <v:imagedata r:id="rId10" o:title=""/>
            <w10:wrap type="topAndBottom"/>
          </v:shape>
          <o:OLEObject Type="Embed" ProgID="Excel.Sheet.12" ShapeID="_x0000_s1046" DrawAspect="Content" ObjectID="_1688975772" r:id="rId11"/>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225B6D"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611.35pt;height:418.35pt;z-index:251664384">
            <v:imagedata r:id="rId12" o:title=""/>
            <w10:wrap type="topAndBottom"/>
          </v:shape>
          <o:OLEObject Type="Embed" ProgID="Excel.Sheet.12" ShapeID="_x0000_s1047" DrawAspect="Content" ObjectID="_1688975773" r:id="rId13"/>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DA4A42">
        <w:rPr>
          <w:rFonts w:ascii="Arial" w:hAnsi="Arial" w:cs="Arial"/>
          <w:sz w:val="18"/>
          <w:szCs w:val="18"/>
        </w:rPr>
        <w:t>juni</w:t>
      </w:r>
      <w:r w:rsidR="005907A0">
        <w:rPr>
          <w:rFonts w:ascii="Arial" w:hAnsi="Arial" w:cs="Arial"/>
          <w:sz w:val="18"/>
          <w:szCs w:val="18"/>
        </w:rPr>
        <w:t>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5907A0">
        <w:rPr>
          <w:rFonts w:ascii="Arial" w:hAnsi="Arial" w:cs="Arial"/>
          <w:sz w:val="18"/>
          <w:szCs w:val="18"/>
        </w:rPr>
        <w:t>1</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EC1988" w:rsidRPr="00EC1988" w:rsidRDefault="00EC1988" w:rsidP="00EC1988">
      <w:pPr>
        <w:pStyle w:val="Texto"/>
        <w:tabs>
          <w:tab w:val="left" w:pos="284"/>
        </w:tabs>
        <w:spacing w:after="0" w:line="276" w:lineRule="auto"/>
        <w:ind w:left="284" w:firstLine="0"/>
        <w:rPr>
          <w:b/>
          <w:szCs w:val="18"/>
          <w:lang w:val="es-MX"/>
        </w:rPr>
      </w:pP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La actividad económica, el empleo, el dinamismo comercial, los flujos de inversión y el bienestar se recuperan paulatinamente en México y el mundo, al tiempo que prosigue el combate a la pandemia de COVID-19. El rápido desarrollo de diversas vacunas y el inicio de su aplicación, sumado a los esfuerzos sostenidos de gobiernos y bancos centrales del mundo para mitigar los impactos de la pandemia, respaldan la expectativa de una reactivación en 2021 más acelerada que la prevista en 2020.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Lo anterior, sumado a la solidez mostrada por los ingresos tributarios en 2020 y el compromiso probado del Gobierno de México con la responsabilidad fiscal y la estabilidad macroeconómica, permiten anticipar el cumplimiento de los objetivos de política económica para 2021. En este sentido, se estima una reducción de la deuda en casi un punto del PIB respecto al cierre observado en 2020.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 xml:space="preserve">Se estima que para inicios de 2022 la economía recobrará totalmente su nivel previo a la pandemia, apuntalada por el restablecimiento del dinamismo del mercado interno que traerán la vacunación y la reapertura de actividades. La inversión en infraestructura, la profundización del sector financiero, la reducción de las distintas brechas que restringen el desarrollo y la mayor integración comercial con nuestros socios en el Tratado entre México, Estados Unidos y Canadá (T-MEC), son factores que abonarán la recuperación de la economía mexicana. </w:t>
      </w:r>
    </w:p>
    <w:p w:rsidR="007025F4" w:rsidRPr="007025F4" w:rsidRDefault="007025F4" w:rsidP="007025F4">
      <w:pPr>
        <w:tabs>
          <w:tab w:val="left" w:pos="284"/>
        </w:tabs>
        <w:ind w:left="284"/>
        <w:jc w:val="both"/>
        <w:rPr>
          <w:rFonts w:ascii="Arial" w:hAnsi="Arial" w:cs="Arial"/>
          <w:sz w:val="18"/>
          <w:szCs w:val="18"/>
        </w:rPr>
      </w:pPr>
      <w:r w:rsidRPr="007025F4">
        <w:rPr>
          <w:rFonts w:ascii="Arial" w:hAnsi="Arial" w:cs="Arial"/>
          <w:sz w:val="18"/>
          <w:szCs w:val="18"/>
        </w:rPr>
        <w:t>Asimismo, la continuación de la política de prudencia fiscal y manejo eficiente del endeudamiento ayudará a disminuir nuevamente la deuda pública y a colocarla en una trayectoria descendente sostenida, que asegurará la preservación de la estabilidad, la salud de largo plazo de las finanzas públicas y la disponibilidad de recursos adicionales para los programas y proyectos públicos que más inciden en el desarrollo y bienestar de nuestro país.</w:t>
      </w:r>
    </w:p>
    <w:p w:rsidR="00C53587" w:rsidRDefault="00C53587" w:rsidP="007025F4">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 xml:space="preserve">Durante el primer trimestre de 2021 la economía global continuó recuperándose. A pesar del resurgimiento de nuevas olas de contagios en algunas regiones del mundo, las perspectivas de crecimiento mundial para 2021 se muestran optimistas. Esto debido al avance a nivel internacional en las campañas de vacunación, así como al importante estímulo fiscal en Estados Unidos (EE.UU.) y a la adaptación de la población y de las actividades económicas a la pandemia. En este contexto, el Fondo Monetario Internacional (FMI), en sus estimaciones de abril, aumentó su proyección de la recuperación del Producto Interno Bruto (PIB) global de 5.5 a 6.0% para 2021, al tiempo que ajustó su estimación de crecimiento para 2022 de 4.2 a 4.4%. Por su parte, en México durante el primer trimestre, los avances en materia de empleo, consumo, inversión y reapertura sostenida de actividades ante la reducción de contagios por COVID-19, más que compensaron los efectos en la economía de la suspensión parcial de actividades en enero, así como el desabasto de gas natural y la escasez de semiconductores y resinas plásticas, que impactaron particularmente a las manufacturas.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el lado de la demanda, la información de enero de 2021 mostró que el consumo privado en el mercado interior se recuperó respecto al mes previo al aumentar a una tasa mensual de 1.0% y acumular un incremento de 22.4% respecto al nivel mínimo observado en mayo. Asimismo, el consumo en tiendas departamentales y autoservicios de la Asociación Nacional de Tiendas de Autoservicio y Departamentales (ANTAD) presentó un crecimiento real anual en marzo de 3.9%, el más alto desde febrero de 2020. Estos resultados se encuentran en línea con la tendencia positiva que ha presentado la confianza del consumidor desde junio de 2020 y que, en marzo, tuvo un crecimiento por cuarto mes consecutivo.</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línea con la actividad interna, el sector externo impulsado por la recuperación del comercio mundial y en particular por la economía norteamericana continuó con el dinamismo observado desde el segundo trimestre de 2020. En particular, se observó un crecimiento en el valor de las exportaciones no petroleras y las importaciones no petroleras en el primer trimestre de 2021 de 2.7 y 7.2% con respecto al primer trimestre de 2020. En cuanto al crecimiento de las importaciones no petroleras, este se explicó por el crecimiento de la actividad interna que se tradujo en mayores importaciones de bienes de capital, insumos, y consumo de bienes de 7.1, 7.3, y 6.1%, respectivamente. Cabe destacar que con la mayor demanda de importaciones de bienes consumo y bienes de capital se esperaría un aumento del consumo y la inversión doméstica durante el primer trimestre de 2021.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cuanto al mercado laboral, el empleo continuó recuperándose de manera sostenida. Al cierre del primer trimestre, se incrementaron 956 mil 96 plazas con respeto al cierre de 2020. Con el nivel de empleo alcanzado al cierre del primer trimestre se ha recuperado el 96.5% de los empleos de marzo de 2020, los cuales se afectaron como consecuencia del cierre de actividades económicas tras la pandemia del COVID-19. Lo anterior se explica por el dinamismo del empleo en el sector secundario que alcanzó en marzo una recuperación de 97.7% de los empleos de marzo del año previo, liderado por la industria manufacturera y construcción con un avance de 98.5 y 97.1%. Igualmente, a marzo, el sector terciario recuperó el 93.2% de los empleos de marzo de 2020; en su interior, destacan el empleo de servicios sociales, de gobierno y profesionales con 99.1, 95.5 y 95.3% de recuperación, respectivamente, para el mismo periodo.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No obstante, a nivel sectorial, el Indicador Global de la Actividad Económica (IGAE) en el bimestre enero-febrero de 2021 presentó un decrecimiento de 0.4% con respecto al bimestre anterior, con datos ajustados por estacionalidad, aunque se espera que este efecto sea transitorio y se recupere en marzo. Al interior del IGAE secundario, los sectores de manufacturas y el sector de energía eléctrica registraron caídas bimestrales de 1.6 y 3.1%, respectivamente, debido al desabasto de gas natural derivado de factores climatológicos durante el 15 y 21 de febrero, así como por la escasez de semiconductores y resinas plásticas a nivel internacional a inicios del año.</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Finalmente, México cuenta con recursos suficientes para hacer frente a sus obligaciones financieras con el exterior y afrontar choques imprevistos. Las reservas internacionales tienen un saldo de 195 mil millones de dólares, y se dispone de instrumentos de liquidez ante choques adversos como la Línea de Crédito Flexible con el FMI por 63.1 mil millones de dólares (mmd) y las líneas de crédito recíproco (swap lines) con la Reserva Federal y el Tesoro de los Estados Unidos por 60 y 9 mmd, respectivamente.</w:t>
      </w:r>
    </w:p>
    <w:p w:rsidR="00C53587" w:rsidRDefault="00C53587" w:rsidP="007025F4">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 recuperación de la economía mundial continuó durante el primer trimestre de 2021, en un entorno de expectativas positivas. Si bien la pandemia continuó siendo un reto de salud pública en todo el mundo, particularmente en aquellos países que enfrentan un resurgimiento de los contagios, las perspectivas de crecimiento mundial se mostraron optimistas debido al avance de la campaña de vacunación más grande de la historia. En este contexto, la Directora General del Fondo Monetario Internacional (FMI), Kristalina Georgieva, reconoció que “la política de vacunación es política económica”, siendo la inmunización de la población el elemento fundamental para la recuperación total de la actividad económica.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Así, en su reporte de Perspectivas Económicas de abril, el FMI mejoró sus proyecciones de recuperación del Producto Interno Bruto (PIB) mundial en 2021 de 5.5 a 6.0%. Para 2022, la tasa estimada de crecimiento global pasó de 4.2 a 4.4%. No obstante, se anticipa que la recuperación será desigual entre sectores y países; y la incertidumbre sobre la evolución de las variantes del virus, así como la capacidad de despliegue de vacunas continuarán siendo los principales riesgos a la baja para el crecimiento mundial.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La recuperación desigual entre sectores se debe a la distinta capacidad de adaptación de las actividades económicas para cohabitar con el virus. Por un lado, la producción manufacturera registró una recuperación en forma de “V” y el comercio internacional mostró señales de recuperación desde la segunda mitad de 2020. Ambos sectores impulsados, en mayor medida, por el restablecimiento de las cadenas globales de valor. Concretamente, en febrero de 2021, el índice de volumen de comercio internacional calculado por la Oficina de Análisis de Políticas de los Países Bajos (CPB Netherlands, por sus siglas en inglés) fue 6.6 puntos porcentuales (pp) superior al nivel pre-pandemia de enero de 2020. Asimismo, en marzo de 2021, el índice PMI manufacturero global registró 4.7 pp más que el nivel observado en enero de 2020. Si bien los indicadores adelantados también indican que el sector servicios ya alcanzó su nivel pre-pandemia, su recuperación fue más lenta, debido a que está conformado, en su mayoría, por actividades económicas intensivas en contacto físico; como el alojamiento, la preparación de alimentos y el transporte de pasajeros. En particular, en marzo de 2021, el índice PMI global de servicios se ubicó 2.0 pp por encima del nivel registrado previo a la pandemia, en enero de 2020.</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Respecto a la recuperación entre países, se espera que algunas economías emergentes podrían permanecer por debajo de su nivel pre-pandemia por más tiempo que las economías avanzadas debido a la escasez y posibles complicaciones en la distribución de las vacunas, lo cual limitaría sus oportunidades de reabrir totalmente la actividad económica. Particularmente, el FMI calculó que las economías de ingresos altos, las cuales concentran al 16% de la población mundial, han pre-comprado el 50% de las dosis disponibles actualmente. Lo cual deja a los países de ingresos medios y bajos, que concentran 84% de la población total, con menor posibilidad de asegurar vacunas para sus ciudadanos.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De esta manera, el FMI estimó que las economías avanzadas crecerán 5.1% durante 2021 y 3.6% durante 2022, y que países como Japón y Estados Unidos recuperarían su nivel de PIB pre-pandemia a mediados de 2021. Particularmente, durante el primer trimestre de 2021, el PIB de EE.UU. aceleró su ritmo de crecimiento a una tasa trimestral de 1.6%, lo que reflejó la persistencia de la recuperación económica, la reapertura de los establecimientos económicos y el apoyo gubernamental. El consumo privado y el gasto del gobierno contribuyeron con 1.7 y 0.3 pp, mientras que la inversión y las exportaciones netas restaron -0.2 pp al crecimiento, cada una.</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Ahora bien, el FMI proyectó que las economías emergentes se expandirán 6.7% durante 2021 y 5.0% durante 2022. Específicamente, el organismo destacó que la recuperación entre las regiones emergentes será heterogénea y dependerá de su estructura económica, en concreto, de su conexión con las cadenas globales de valor, así como su exposición a los servicios internacionales, específicamente al turismo. En lo que respecta a América Latina y el Caribe, el FMI anticipó un crecimiento de 4.6% para 2021 y de 3.1% para 2022. En línea con la reactivación económica y las expectativas positivas generadas por las campañas de vacunación, durante el primer trimestre de 2021, los precios de las materias primas mostraron incrementos a niveles no vistos desde el último trimestre de 2014, de acuerdo con el índice de precios de materias primas del FMI. Esto se debió a una combinación de restricciones de oferta, a la alta liquidez generada por los estímulos monetarios y fiscales, así como por una sólida demanda.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 xml:space="preserve">Asimismo, los precios del petróleo se recuperaron de forma acelerada durante el primer trimestre del año y alcanzaron los niveles pre-pandemia desde febrero. Por el lado de la oferta, los precios presentaron un apoyo importante debido al acuerdo de producción de la OPEP+. En enero de 2021, la OPEP+ aumentó su producción en 0.5 millones de barriles diarios (Mbd), en lugar de los casi 2 Mbd originalmente previstos. Entre febrero y abril se aprobaron incrementos moderados en la producción, no mayores a 0.15 Mbd, pero Arabia Saudita se comprometió de forma voluntaria a reducir en 1 Mbd su oferta durante estos meses. No obstante, en la reunión más reciente de la OPEP+, realizada el 1 de abril, se aprobaron incrementos para mayo, junio y julio de 0.35, 0.35 y 0.44 Mbd, respectivamente.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su parte, Arabia Saudita señaló que eliminará gradualmente su recorte voluntario adicional, por lo que añadirá a su producción 0.25 Mbd en mayo, 0.35 Mbd en junio y 0.4 Mbd en julio. Al 31 de marzo de 2021, los precios del WTI y el Brent fueron de 59.2 y 62.4 dólares por barril (dpb), mayores en 21.9 y 22.0%, respectivamente, con relación 31 de diciembre de 2020. Asimismo, al 31 de marzo, el precio de la mezcla mexicana fue de 58.4 dpb, lo que representó un aumento de 23.8% con respecto al registrado al cierre de 2020.</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 volatilidad en los mercados financieros se redujo y, al 31 de marzo de 2021, el índice de volatilidad de mercado VIX disminuyó 14.3% con respecto al nivel del cierre del cuarto trimestre de 2020. De esta manera, los principales índices financieros mundiales registraron una expansión durante el primer trimestre de 2021. Lo anterior, se tradujo en un restablecimiento importante de los flujos de capitales hacia economías emergentes. Particularmente, el índice que mide el flujo neto de capital hacia economías en desarrollo, calculado por Bloomberg, aumentó 10.2% durante el primer trimestre de 2021 con respecto al cuarto trimestre de 2020.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materia de precios, durante marzo, se registraron presiones al alza para la inflación. Esto fue producto de un efecto base adverso, de los cuellos de botella experimentados en la oferta de bienes y servicios (derivados de las dificultades que enfrentan los proveedores, por ejemplo los de semiconductores para la industria automotriz), así como por un incremento en los precios de las materias primas y los energéticos. Por su parte, la inflación recibió presiones a la baja derivadas de que los mercados laborales y la demanda mundial continuaron por debajo de sus niveles pre-pandemia. En este contexto, se espera que los efectos atípicos que presionan al indicador al alza sean temporales y se desvanezcan hacía la segunda mitad de 2021. Asimismo, la Reserva Federal y el Banco Central Europeo mantuvieron su confianza en las herramientas de política monetaria disponibles en caso de persistentes presiones inflacionarias.</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consecuencia, los bonos del tesoro estadounidense de largo plazo han mostrado presiones al alza en sus rendimientos. Si bien no se tiene certeza sobre la duración del efecto en los mercados financieros provocado por las mejores expectativas de la recuperación económica, este fenómeno ha elevado el costo de financiamiento de los gobiernos de todo el mundo.</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el primer trimestre de 2021, la economía mexicana continuó en la senda de recuperación que inició desde junio de 2020, la cual se ha visto favorecida por el dinamismo del mercado interno en materia de empleo, consumo e inversión, así como por la reactivación sostenida de las actividades económicas ante la reducción de contagios por COVID-19, y el impulso adicional que ha significado el avance en los programas de vacunación en México y el resto del mundo, aunado a la reactivación económica de sus principales socios comerciales. A pesar de la suspensión parcial de actividades implementada a inicios de año para contener la pandemia y la interrupción a las actividades que tuvieron que realizar algunas empresas en febrero, por el desabasto en el suministro de gas natural desde Texas y por la escasez de semiconductores y resinas plásticas, la economía mexicana continuó recuperándose, aunque con cierto grado de heterogeneidad entre sectores.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 información más reciente sobre el IGAE muestra que, si bien la economía presentó una disminución de 0.4% el primer bimestre de 2021 con cifras ajustadas por estacionalidad, el desempeño de la actividad económica fue heterogénea al interior con una recuperación en febrero de 96.0% respecto a los niveles pre-pandemia de febrero de 2020. En los sectores secundario y terciario la recuperación alcanzó 96.9 y 95.0% del nivel prepandemia, respectivamente, donde destaca la recuperación de estos sectores que en mayo de 2020 llegaron a estar al 71.3 y 82.7% de su nivel pre-pandemia. La dinámica sectorial del IGAE en el primer trimestre de 2021 se explica por la relativa flexibilidad para ajustar las condiciones de trabajo para continuar operando al aire libre y en estricto apego a las medidas sanitarias. En cambio, las </w:t>
      </w:r>
      <w:r w:rsidRPr="00C53587">
        <w:rPr>
          <w:rFonts w:ascii="Arial" w:hAnsi="Arial" w:cs="Arial"/>
          <w:sz w:val="18"/>
          <w:szCs w:val="18"/>
        </w:rPr>
        <w:lastRenderedPageBreak/>
        <w:t xml:space="preserve">actividades presenciales, turísticas y de trasporte tuvieron interrupciones en el bimestre y una recuperación condicionada por la evolución regional de la pandemia, las medidas sanitarias y la movilidad de la población, así como por los avances en el programa de vacunación en México y el resto del mundo.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El detalle del comportamiento del primer bimestre de 2021 fue el siguiente: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Las actividades primarias decrecieron 0.5% en enero-febrero de 2021 respecto a noviembre-diciembre del año previo, luego de un desempeño positivo a lo largo de 2020.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Las actividades secundarias mostraron un crecimiento de 0.4% respecto al bimestre previo, con cifras con ajuste por estacionalidad. Lo anterior implica un repunte de 35.2% con respecto a abril-mayo de 2020, bimestre con los niveles más bajos derivado de que la mayoría de los sectores se encontraban cerrados por la contingencia sanitaria. El crecimiento bimestral de enero-febrero de 2021 se observó debido a los aumentos de 2.3 y 2.0% en la minería y la construcción, mientras que la generación, transmisión y distribución de energía eléctrica, suministro de agua y de gas disminuyó 3.1% debido al desabasto de gas. La industria manufacturera presentó una disminución bimestral de 1.6% principalmente por reducciones en la fabricación de equipo de transporte y la industria química.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Las actividades terciarias tuvieron una disminución de 0.2% bimestral en enerofebrero de 2021 respecto al bimestre previo. No obstante, al mes de febrero recuperó el 95.0% del nivel alcanzado un año antes, mes de referencia prepandemia. Al interior del sector persiste la heterogeneidad debido a las formas de llevar a cabo las actividades y su dependencia a las reglas de confinamiento. Las mayores disminuciones del bimestre fueron en transportes e información en medios masivos (-3.9%), alojamiento temporal y preparación de alimentos (-2.9%), comercio al por menor (-2.5%) y servicios financieros e inmobiliarios (-0.6%). Mientras tanto, las actividades profesionales, científicas y técnicas, las actividades del gobierno y de organismos internacionales y los servicios educativos y de salud crecieron en el bimestre 3.7, 1.0 y 0.4%, respectivamente.</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su parte, en el primer trimestre de 2021, las ventas totales de los establecimientos afiliados a la ANTAD se encontraron 10.6% por arriba del nivel alcanzado en el segundo trimestre de 2020, cuando se llegó al nivel más bajo de ventas en 2020. En marzo, las ventas totales presentaron un crecimiento real anual de 3.9%, el más alto desde febrero de 2020. Estos resultados se encuentran en línea con la tendencia positiva que ha presentado la confianza del consumidor desde junio de 2020 y que, en marzo de 2021, tuvo un crecimiento mensual por cuarta ocasión consecutiva.</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cuanto a la inversión, en enero de 2021, la formación bruta de capital fijo presentó un incremento mensual de 3.3%, con cifras ajustadas por estacionalidad, que en el acumulado desde el nivel mínimo observado en mayo alcanzó 39.2% de crecimiento y ha recuperado el 92.5% del nivel pre-pandemia. La formación bruta de capital fijo presentó crecimientos mensuales en enero en todos sus componentes: 2.9% en la inversión en construcción (88.3% de su nivel del año anterior), 3.5% en la inversión en maquinaria y equipo nacional (90.4%) y 4.0% en la inversión de maquinaria y equipo importada (98.0%). Cabe destacar los crecimientos de la inversión en equipo de transporte de origen nacional y de la construcción no residencial en 8.2 y 7.4%, respectivamente.</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lo que se refiere a la ocupación formal, con la información disponible al 31 de marzo de 2021, el número de trabajadores asegurados en el Instituto Mexicano del Seguro Social (IMSS) ascendió a 20 millones 25 mil 709 personas, representando un aumento de 251 mil 977 plazas (1.3%) con respecto a diciembre de 2020. El aumento en el número de plazas se explicó por los contratos permanentes en 137 mil 413 (0.8%) y eventuales en 114 mil 564 (4.1%). En este contexto, el incremento de puestos de trabajo totales provino mayoritariamente del sector manufacturero (122 mil 619, 2.3% respecto a diciembre), los servicios sociales (65 mil 317 plazas, 3.0% respecto a diciembre), agropecuario (43 mil 594 plazas, 5.8% respecto a diciembre), la construcción (39 mil 779 plazas, 2.7% respecto a diciembre).</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Con la reapertura gradual y ordenada de las actividades en diversos sectores de la economía mexicana y la recuperación de los principales socios comerciales, el comercio de mercancías de México con el exterior continuó mejorando durante el primer trimestre de 2021. Cabe destacar que esta recuperación se vio favorecida por </w:t>
      </w:r>
      <w:r w:rsidRPr="00C53587">
        <w:rPr>
          <w:rFonts w:ascii="Arial" w:hAnsi="Arial" w:cs="Arial"/>
          <w:sz w:val="18"/>
          <w:szCs w:val="18"/>
        </w:rPr>
        <w:lastRenderedPageBreak/>
        <w:t xml:space="preserve">políticas monetarias más acomodaticias y por la implementación de numerosos paquetes de apoyo a nivel internacional, aunado a la relajación de las medidas de confinamiento en algunos países. Ante estas condiciones, el volumen de comercio mundial aumentó en 2.2% en el bimestre enero-febrero de 2021 respecto al bimestre previo. Si bien en septiembre de 2020 el comercio mundial recuperó su nivel pre-pandemia, a febrero de 2021 el nivel registrado fue superior en 5.4% superior respecto al observado en febrero de 2020.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este contexto, al primer trimestre de 2021 el valor de las exportaciones mexicanas continuó recuperándose por arriba de los niveles pre-pandemia. Este creció 0.4% con respecto al cuarto trimestre de 2020 y superó en 4.5% el valor de las exportaciones totales con respecto al primer trimestre de 2020, con datos ajustados por estacionalidad.</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otra parte, el valor de las exportaciones petroleras aumentó en el primer trimestre 25.2% con respecto al trimestre anterior, una vez que se toma en cuenta la estacionalidad. El incremento de este rubro fue consecuencia del crecimiento de las exportaciones de crudo y de otros productos petroleros en 23.2 y 36.7% con respecto al trimestre previo. Cabe resaltar el aumento del precio de la mezcla mexicana de exportación que pasó de un promedio de 41.0 dólares por barril en el cuarto trimestre de 2020 a 55.5 dólares en el primer trimestre de 2021, que más que compensó la reducción en 12.4% del volumen exportado con respecto al último trimestre del año previo. Mientras tanto, el valor de las importaciones totales mostró un crecimiento de 11.7% respecto al trimestre anterior, debido al crecimiento de las importaciones de bienes intermedios (8.0%), de capital (12.5%) y de consumo (12.5%), en línea con la recuperación de la demanda interna y la apreciación de 1.1% del tipo de cambio real. Al interior de este rubro, el valor de las importaciones petroleras aumentó 44.2% mientras que las no petroleras creció en 8.8%. Cabe destacar que durante el primer trimestre de 2021 el valor total de las importaciones no petroleras así como el de todos sus componentes aumentaron y superaron los niveles pre-pandemia con crecimientos sostenidos por tres trimestres consecutivos, con datos ajustados por estacionalidad.</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saldo de la balanza comercial de mercancías no petroleras al cuarto trimestre de 2020 se ubicó en 19 mil 208 millones de dólares (8,526 al cuarto trimestre de 2019), mientras que el saldo deficitario de la balanza de mercancías petroleras fue de 3 mil 690 millones de dólares (-5 mil 313 al cuarto trimestre de 2019). Adicionalmente, el superávit en la balanza de ingreso secundario aumentó en mil 449 millones de dólares, donde el componente de remesas presentó el segundo nivel más alto que se tiene registro de 10 mil 641 millones de dólares (3.8% del PIB acumulado en el año). De este modo, el saldo superavitario de la balanza no petrolera y el ingreso secundario más que compensaron los déficits de la balanza de ingresos primarios y de la balanza comercial de mercancías petroleras y de servicios. Finalmente, la cuenta financiera de la balanza de pagos en el cuarto trimestre registró un préstamo neto con el exterior que implicó una salida de recursos por 11 mil 578 millones de dólares. Al interior de la cuenta financiera se observó una salida de recursos por 3 mil 720 millones de dólares en la cuenta de inversión de cartera y 12 mil 930 millones en otras inversiones. Esta salida fue parcialmente compensada por la entrada neta de mil 994 millones de dólares de inversión directa y mil 894 millones de derivados financieros. Mientras tanto, los activos de reservas registraron una disminución de mil 184 millones de dólares.</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Los ingresos no tributarios del Gobierno Federal sumaron 140 mil 479 millones de pesos, monto superior en 89 mil 44 millones de pesos respecto a lo aprobado. Al interior, 19 mil 121 millones de pesos corresponden a derechos y 70 mil 961 millones de pesos por aprovechamientos. Respecto al año anterior, estos ingresos fueron mayores a lo observado en el mismo periodo en 13.6% real. Destaca en el periodo la recuperación de activos financieros del Fondo de Salud para el Bienestar por 33 mil millones de pesos, previstos en la Ley de Ingresos de la Federación (LIF) 2021 para financiar gasto en salud; del Fideicomiso Fondo de Desastres Naturales por 7 mil 600 millones de pesos, que corresponden a recursos no comprometidos y en línea con el proceso de extinción del Fideicomiso; así como, los ingresos derivados por operaciones de financiamiento (colocación sobre par) de 16 mil 979 millones de pesos.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Como resultado de la reactivación económica y del reforzamiento del marco tributario para maximizar la recaudación sin aumentar los impuestos, en el primer trimestre de 2021 prácticamente todos los rubros de ingresos tributarios mostraron mayores entradas respecto a las programadas. De manera particular, los ingresos tributarios sumaron 1 billón 24 mil 111 millones de pesos, lo que representó 28 mil 273 millones de pesos arriba del programa y una disminución de 2.0% en términos reales respecto a lo observado en 2020. Los mayores ingresos respecto al programa se concentraron en el impuesto al valor agregado.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 xml:space="preserve">Los ingresos propios del IMSS y del ISSSTE se ubicaron en 109 mil 701 millones de pesos, monto superior en 4 mil 141 millones de pesos con respecto al programado e inferior en 2.4% en términos reales respecto al año anterior. Los ingresos propios de CFE ascendieron a 85 mil 229 millones de pesos, cifra menor en términos reales en 14.7% respecto a 2020 e inferior en 9 mil 108 millones de pesos respecto al programa, derivado de menor venta de servicios.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Los ingresos petroleros del Sector Público se ubicaron en 204 mil 551 millones de pesos, monto inferior en 29 mil 509 millones de pesos respecto a lo programado y 45.6% mayor, en términos reales, respecto a lo observado en 2020. El resultado con respecto al programa se explica por la menor plataforma de producción de hidrocarburos; menores ventas internas y mayor compra de combustibles para reventa; que se compensan en parte con el mayor precio del petróleo y el efecto del registro de las aportaciones patrimoniales del Gobierno Federal a Pemex. El dinamismo respecto al año anterior obedece principalmente al incremento del precio del petróleo crudo y el gas natural, así como mayores aportaciones patrimoniales del Gobierno Federal a Pemex.</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el primer trimestre de 2021, el gasto neto pagado se ubicó en 1 billón 662 mil 244 millones de pesos, monto mayor al registrado en el mismo periodo del año anterior en 7.9% real, e inferior al previsto en el programa4 en 5 mil 611 millones de pesos. Respecto al periodo enero-marzo de 2020, el gasto primario fue superior en 9.4% en términos reales; el gasto neto total excluyendo la inversión financiera, las pensiones, las participaciones y el costo financiero aumentó 7.5% real; y el gasto corriente estructural aumentó 5.2% real.</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Las menores erogaciones respecto al programa obedecen a los menores niveles de gasto no programable de 37 mil 304 millones de pesos, que se explican por un menor costo financiero de 18 mil 387 millones de pesos y por un menor pago de Adefas y otros de 28 mil 290 millones de pesos. El menor costo financiero y pago de Adefas se compensó con un mayor pago de participaciones a los estados y municipios de 9 mil 373 millones de pesos.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Por su parte, el gasto programable fue mayor en 31 mil 693 millones de pesos. A su interior destacan las erogaciones de la Administración Pública Centralizada y de las empresas productivas del Estado (Pemex y CFE), que fueron mayores por 26 mil 210 millones de pesos y por 36 mil 760 millones de pesos, respectivamente; mientras que, los organismos bajo control presupuestario directo (IMSS e ISSSTE) y los entes autónomos registraron menor gasto en 26 mil 793 millones de pesos y 13 mil 379 millones de pesos, respectivamente.</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La revisión de las estimaciones de cierre de las finanzas públicas para 2021 considera la información presentada en los Pre-Criterios Generales de Política Económica para 2022 publicados el 31 de marzo de 2021. Este escenario contempla la actualización de la información de finanzas publicas por los resultados del cierre año, la revisión del impacto previsto por la contingencia relacionada a la propagación del COVID-19 en el dinamismo de la economía, así como el avance esperado en el programa de vacunación.</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Se anticipa que el crecimiento real del PIB de México para 2021 se ubique en un rango de entre 4.3 y 6.3%. Para las estimaciones de finanzas públicas se utiliza la estimación puntual de una variación real del PIB de 5.3%, que se compara positivamente con el 4.6% utilizado para el Paquete Económico 2021.</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tipo de cambio promedio utilizado para las estimaciones de finanzas públicas es de 20.4 pesos por dólar, en lugar de los 22.1 pesos por dólar que se utilizó para la estimación de la LIF 2021. Los pronósticos de inflación empleados son consistentes con las previsiones publicadas por el Banco de México, así como con su objetivo de inflación. Así, se prevé una inflación al cierre del año de 3.8%.</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precio promedio anual de la mezcla mexicana de exportación de petróleo se estima en 55.0 dólares por barril (dpb), cifra mayor a los 42.1 dpb aprobados para la LIF 2021. La plataforma de producción de petróleo se prevé en 1,794 miles de barriles diarios (mbd), en lugar de los 1,857 mbd previstos para las estimaciones de LIF 2021.</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1028E">
      <w:pPr>
        <w:tabs>
          <w:tab w:val="left" w:pos="284"/>
        </w:tabs>
        <w:ind w:left="284"/>
        <w:jc w:val="center"/>
        <w:rPr>
          <w:rFonts w:ascii="Arial" w:hAnsi="Arial" w:cs="Arial"/>
          <w:sz w:val="18"/>
          <w:szCs w:val="18"/>
        </w:rPr>
      </w:pPr>
      <w:r w:rsidRPr="00C53587">
        <w:rPr>
          <w:rFonts w:ascii="Arial" w:hAnsi="Arial" w:cs="Arial"/>
          <w:noProof/>
          <w:sz w:val="18"/>
          <w:szCs w:val="18"/>
          <w:lang w:eastAsia="es-MX"/>
        </w:rPr>
        <w:drawing>
          <wp:inline distT="0" distB="0" distL="0" distR="0">
            <wp:extent cx="2320290" cy="3114040"/>
            <wp:effectExtent l="0" t="0" r="381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320290" cy="3114040"/>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2011 al segundo trimestre de 2020, Tlaxcala ha recibido flujos de inversión acumulados por 1 mil 895.5 millones de dólares (mdd) equivalentes al 1% del total de flujos captados por el país de acuerdo a la Secretaría de Economía al Segundo Trimestre de 2020, la entidad pasó a ocupar la posición 28 como receptor de inversión externa en el país.</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cuarto trimestre de 2020 es de 612 mil 523 personas y representa 1.1% del total nacional. La población ocupada representó 94% de la PEA de la entidad, es decir, 578 mil 431 personas. De esta población, 59.9 % son hombres y 40.1 % son mujeres. Un dato a destacar es el aumento de la participación laboral femenina en el estado. En 2001, la proporción de mujeres trabajadoras tlaxcaltecas dentro de la población ocupada total era de 33%. Actualmente, alcanza 41%; 2 puntos porcentuales mayor al promedio nacional.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Al mes de mayo de 2021 se tiene un incremento de 4,084 puestos de trabajo respecto a diciembre de 2020. Al mes de mayo de 2021, se tienen registrados 103,141 trabajadores asegurados en el IMSS, tal y como se muestra en los siguientes cuadros:</w:t>
      </w: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lastRenderedPageBreak/>
        <w:drawing>
          <wp:inline distT="0" distB="0" distL="0" distR="0">
            <wp:extent cx="8385175" cy="585724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28159" t="26385" r="27599" b="23003"/>
                    <a:stretch>
                      <a:fillRect/>
                    </a:stretch>
                  </pic:blipFill>
                  <pic:spPr bwMode="auto">
                    <a:xfrm>
                      <a:off x="0" y="0"/>
                      <a:ext cx="8385175" cy="5857240"/>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lastRenderedPageBreak/>
        <w:drawing>
          <wp:inline distT="0" distB="0" distL="0" distR="0">
            <wp:extent cx="8410575" cy="3519805"/>
            <wp:effectExtent l="0" t="0" r="9525"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8079" t="35374" r="27678" b="38716"/>
                    <a:stretch>
                      <a:fillRect/>
                    </a:stretch>
                  </pic:blipFill>
                  <pic:spPr bwMode="auto">
                    <a:xfrm>
                      <a:off x="0" y="0"/>
                      <a:ext cx="8410575" cy="3519805"/>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lastRenderedPageBreak/>
        <w:drawing>
          <wp:inline distT="0" distB="0" distL="0" distR="0">
            <wp:extent cx="8592185" cy="60991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30606" t="26613" r="28214" b="15221"/>
                    <a:stretch>
                      <a:fillRect/>
                    </a:stretch>
                  </pic:blipFill>
                  <pic:spPr bwMode="auto">
                    <a:xfrm>
                      <a:off x="0" y="0"/>
                      <a:ext cx="8592185" cy="6099175"/>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De acuerdo al Directorio Estadístico Nacional de Unidades Económicas, Tlaxcala cuenta con 81,764 Unidades Económicas, lo que representa el 1 % del total nacional. Al primer trimestre de 2021 la Población Económicamente Activa (PEA) ascendió a 585,720 personas, representando el 58 % de la población en edad de trabajar. Del Total de la PEA, el 94 % está ocupada y el 6 % se encuentra desocupada.</w:t>
      </w: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drawing>
          <wp:inline distT="0" distB="0" distL="0" distR="0">
            <wp:extent cx="7332345" cy="4908550"/>
            <wp:effectExtent l="0" t="0" r="190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8589" t="30208" r="27838" b="13654"/>
                    <a:stretch>
                      <a:fillRect/>
                    </a:stretch>
                  </pic:blipFill>
                  <pic:spPr bwMode="auto">
                    <a:xfrm>
                      <a:off x="0" y="0"/>
                      <a:ext cx="7332345" cy="4908550"/>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lastRenderedPageBreak/>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Al mes de diciembre de 2020, la Inversión Extranjera Directa Acumulada del año 1999 al mes de diciembre de 2020 en el Estado de Tlaxcala fue de 3,608.6 millones de dólares lo que representó un aporte del 1% al total nacional, instalándose empresas de diversas nacionalidades en la Entidad.</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drawing>
          <wp:inline distT="0" distB="0" distL="0" distR="0">
            <wp:extent cx="8393430" cy="402018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6320" t="16788" r="3461" b="6474"/>
                    <a:stretch>
                      <a:fillRect/>
                    </a:stretch>
                  </pic:blipFill>
                  <pic:spPr bwMode="auto">
                    <a:xfrm>
                      <a:off x="0" y="0"/>
                      <a:ext cx="8393430" cy="4020185"/>
                    </a:xfrm>
                    <a:prstGeom prst="rect">
                      <a:avLst/>
                    </a:prstGeom>
                    <a:noFill/>
                    <a:ln>
                      <a:noFill/>
                    </a:ln>
                  </pic:spPr>
                </pic:pic>
              </a:graphicData>
            </a:graphic>
          </wp:inline>
        </w:drawing>
      </w:r>
    </w:p>
    <w:p w:rsidR="00C53587" w:rsidRPr="00C53587" w:rsidRDefault="00C53587" w:rsidP="00C53587">
      <w:pPr>
        <w:tabs>
          <w:tab w:val="left" w:pos="284"/>
        </w:tabs>
        <w:ind w:left="284"/>
        <w:jc w:val="both"/>
        <w:rPr>
          <w:rFonts w:ascii="Arial" w:hAnsi="Arial" w:cs="Arial"/>
          <w:sz w:val="18"/>
          <w:szCs w:val="18"/>
        </w:rPr>
      </w:pP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noProof/>
          <w:sz w:val="18"/>
          <w:szCs w:val="18"/>
          <w:lang w:eastAsia="es-MX"/>
        </w:rPr>
        <w:lastRenderedPageBreak/>
        <mc:AlternateContent>
          <mc:Choice Requires="wps">
            <w:drawing>
              <wp:anchor distT="0" distB="0" distL="114300" distR="114300" simplePos="0" relativeHeight="251687936"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6" name="Flecha derecha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047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6" o:spid="_x0000_s1026" type="#_x0000_t13" style="position:absolute;margin-left:690.75pt;margin-top:12457.45pt;width:14.95pt;height:3.6pt;flip:y;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J76liq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C53587">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El poco dinamismo de la economía regional, restringe al Estado para incrementar significativamente su recaudación propia; de 2011 a 2021, los ingresos propios promediaron entre el 4 y 6 por ciento de los ingresos totales captados. Se han implementado algunas medidas que incentivaron el pago de impuestos para reducir el rezago fiscal, particularmente en materia de tenencia y derechos vehiculares.</w:t>
      </w:r>
    </w:p>
    <w:p w:rsidR="00C53587" w:rsidRPr="00C53587" w:rsidRDefault="00C53587" w:rsidP="00C53587">
      <w:pPr>
        <w:tabs>
          <w:tab w:val="left" w:pos="284"/>
        </w:tabs>
        <w:ind w:left="284"/>
        <w:jc w:val="both"/>
        <w:rPr>
          <w:rFonts w:ascii="Arial" w:hAnsi="Arial" w:cs="Arial"/>
          <w:sz w:val="18"/>
          <w:szCs w:val="18"/>
        </w:rPr>
      </w:pPr>
      <w:r w:rsidRPr="00C53587">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EC1988" w:rsidRPr="0073056A" w:rsidRDefault="00EC1988" w:rsidP="0032384C">
      <w:pPr>
        <w:pStyle w:val="Texto"/>
        <w:tabs>
          <w:tab w:val="left" w:pos="284"/>
        </w:tabs>
        <w:spacing w:after="0" w:line="276" w:lineRule="auto"/>
        <w:ind w:left="284" w:firstLine="0"/>
        <w:rPr>
          <w:b/>
          <w:szCs w:val="18"/>
          <w:lang w:val="es-MX"/>
        </w:rPr>
      </w:pP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20"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1"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2"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3"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4"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5"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6"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registros de las operaciones están en apego a los Postulados Básicos de Contabilidad Gubernamental y a las normas y manuales vigentes;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lastRenderedPageBreak/>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DA4A42" w:rsidRDefault="00DA4A42">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DA4A42" w:rsidRDefault="00DA4A42"/>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DA4A42" w:rsidRDefault="00DA4A42"/>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DA4A42" w:rsidRDefault="00DA4A42">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DA4A42" w:rsidRDefault="00DA4A42">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DA4A42" w:rsidRDefault="00DA4A42"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DA4A42" w:rsidRDefault="00DA4A42">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7"/>
      <w:headerReference w:type="default" r:id="rId28"/>
      <w:footerReference w:type="even" r:id="rId29"/>
      <w:footerReference w:type="default" r:id="rId30"/>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5B6D" w:rsidRDefault="00225B6D" w:rsidP="00EA5418">
      <w:pPr>
        <w:spacing w:after="0" w:line="240" w:lineRule="auto"/>
      </w:pPr>
      <w:r>
        <w:separator/>
      </w:r>
    </w:p>
  </w:endnote>
  <w:endnote w:type="continuationSeparator" w:id="0">
    <w:p w:rsidR="00225B6D" w:rsidRDefault="00225B6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4E3EA4" w:rsidRDefault="00DA4A42"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E06CA7" w:rsidRPr="00E06CA7">
          <w:rPr>
            <w:rFonts w:ascii="Arial" w:hAnsi="Arial" w:cs="Arial"/>
            <w:noProof/>
            <w:sz w:val="20"/>
            <w:lang w:val="es-ES"/>
          </w:rPr>
          <w:t>20</w:t>
        </w:r>
        <w:r w:rsidRPr="004E3EA4">
          <w:rPr>
            <w:rFonts w:ascii="Arial" w:hAnsi="Arial" w:cs="Arial"/>
            <w:sz w:val="20"/>
          </w:rPr>
          <w:fldChar w:fldCharType="end"/>
        </w:r>
      </w:sdtContent>
    </w:sdt>
  </w:p>
  <w:p w:rsidR="00DA4A42" w:rsidRDefault="00DA4A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3527CD" w:rsidRDefault="00DA4A42"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E06CA7" w:rsidRPr="00E06CA7">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5B6D" w:rsidRDefault="00225B6D" w:rsidP="00EA5418">
      <w:pPr>
        <w:spacing w:after="0" w:line="240" w:lineRule="auto"/>
      </w:pPr>
      <w:r>
        <w:separator/>
      </w:r>
    </w:p>
  </w:footnote>
  <w:footnote w:type="continuationSeparator" w:id="0">
    <w:p w:rsidR="00225B6D" w:rsidRDefault="00225B6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Default="00C06DD7" w:rsidP="007C1CF4">
    <w:pPr>
      <w:pStyle w:val="Encabezado"/>
      <w:ind w:left="720"/>
    </w:pPr>
    <w:r>
      <w:rPr>
        <w:noProof/>
        <w:lang w:eastAsia="es-MX"/>
      </w:rPr>
      <mc:AlternateContent>
        <mc:Choice Requires="wps">
          <w:drawing>
            <wp:anchor distT="0" distB="0" distL="114300" distR="114300" simplePos="0" relativeHeight="251668480" behindDoc="0" locked="0" layoutInCell="1" allowOverlap="1" wp14:anchorId="405C3AC2" wp14:editId="2D46F22E">
              <wp:simplePos x="0" y="0"/>
              <wp:positionH relativeFrom="column">
                <wp:posOffset>1962150</wp:posOffset>
              </wp:positionH>
              <wp:positionV relativeFrom="paragraph">
                <wp:posOffset>-280670</wp:posOffset>
              </wp:positionV>
              <wp:extent cx="3648075" cy="619125"/>
              <wp:effectExtent l="0" t="0" r="0" b="9525"/>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4A42" w:rsidRDefault="00DA4A4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A4A42" w:rsidRDefault="00DA4A4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A4A42" w:rsidRPr="00275FC6" w:rsidRDefault="00DA4A4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C3AC2" id="_x0000_t202" coordsize="21600,21600" o:spt="202" path="m,l,21600r21600,l21600,xe">
              <v:stroke joinstyle="miter"/>
              <v:path gradientshapeok="t" o:connecttype="rect"/>
            </v:shapetype>
            <v:shape id="Cuadro de texto 5" o:spid="_x0000_s1102" type="#_x0000_t202" style="position:absolute;left:0;text-align:left;margin-left:154.5pt;margin-top:-22.1pt;width:287.25pt;height:4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tEvAIAAMA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" filled="f" stroked="f">
              <v:textbox>
                <w:txbxContent>
                  <w:p w:rsidR="00DA4A42" w:rsidRDefault="00DA4A4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A4A42" w:rsidRDefault="00DA4A4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A4A42" w:rsidRPr="00275FC6" w:rsidRDefault="00DA4A42" w:rsidP="00040466">
                    <w:pPr>
                      <w:jc w:val="right"/>
                      <w:rPr>
                        <w:rFonts w:ascii="Soberana Titular" w:hAnsi="Soberana Titular" w:cs="Arial"/>
                        <w:color w:val="808080" w:themeColor="background1" w:themeShade="80"/>
                        <w:sz w:val="20"/>
                        <w:szCs w:val="20"/>
                      </w:rPr>
                    </w:pPr>
                  </w:p>
                </w:txbxContent>
              </v:textbox>
            </v:shape>
          </w:pict>
        </mc:Fallback>
      </mc:AlternateContent>
    </w:r>
    <w:r w:rsidR="00DA4A42">
      <w:rPr>
        <w:noProof/>
        <w:lang w:eastAsia="es-MX"/>
      </w:rPr>
      <mc:AlternateContent>
        <mc:Choice Requires="wpg">
          <w:drawing>
            <wp:anchor distT="0" distB="0" distL="114300" distR="114300" simplePos="0" relativeHeight="251669504" behindDoc="0" locked="0" layoutInCell="1" allowOverlap="1" wp14:anchorId="1AA8A997" wp14:editId="537EBE6D">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4A42" w:rsidRPr="00DE4269" w:rsidRDefault="00DA4A4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8A997" id="9 Grupo" o:spid="_x0000_s1103" style="position:absolute;left:0;text-align:left;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10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DA4A42" w:rsidRPr="00DE4269" w:rsidRDefault="00DA4A4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txbxContent>
                </v:textbox>
              </v:shape>
            </v:group>
          </w:pict>
        </mc:Fallback>
      </mc:AlternateContent>
    </w:r>
    <w:r w:rsidR="00DA4A42">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5C5900D" wp14:editId="5734052F">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A42" w:rsidRPr="003527CD" w:rsidRDefault="00DA4A42"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2"/>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678EC"/>
    <w:rsid w:val="00072BA1"/>
    <w:rsid w:val="0007519E"/>
    <w:rsid w:val="00076E1D"/>
    <w:rsid w:val="0008099F"/>
    <w:rsid w:val="00080D6B"/>
    <w:rsid w:val="00084D46"/>
    <w:rsid w:val="000872D9"/>
    <w:rsid w:val="00090FD9"/>
    <w:rsid w:val="00092E54"/>
    <w:rsid w:val="0009604B"/>
    <w:rsid w:val="00097255"/>
    <w:rsid w:val="000A00F8"/>
    <w:rsid w:val="000A1DD4"/>
    <w:rsid w:val="000A4867"/>
    <w:rsid w:val="000A5776"/>
    <w:rsid w:val="000A58AB"/>
    <w:rsid w:val="000A7734"/>
    <w:rsid w:val="000A7AB8"/>
    <w:rsid w:val="000B54AD"/>
    <w:rsid w:val="000B552D"/>
    <w:rsid w:val="000B62E8"/>
    <w:rsid w:val="000B6E5A"/>
    <w:rsid w:val="000C6E95"/>
    <w:rsid w:val="000C7FBB"/>
    <w:rsid w:val="000D01E9"/>
    <w:rsid w:val="000D0EE3"/>
    <w:rsid w:val="000D261F"/>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56F5"/>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A5D"/>
    <w:rsid w:val="0014540D"/>
    <w:rsid w:val="001528B7"/>
    <w:rsid w:val="00155BEA"/>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96944"/>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1DB1"/>
    <w:rsid w:val="0022227A"/>
    <w:rsid w:val="00223CE1"/>
    <w:rsid w:val="0022440F"/>
    <w:rsid w:val="00225B6D"/>
    <w:rsid w:val="00227B93"/>
    <w:rsid w:val="00230B71"/>
    <w:rsid w:val="00236748"/>
    <w:rsid w:val="002431DD"/>
    <w:rsid w:val="00243B89"/>
    <w:rsid w:val="00245E54"/>
    <w:rsid w:val="00247AD7"/>
    <w:rsid w:val="00251F0D"/>
    <w:rsid w:val="00253C9A"/>
    <w:rsid w:val="00255476"/>
    <w:rsid w:val="0025735F"/>
    <w:rsid w:val="00261B45"/>
    <w:rsid w:val="0026333F"/>
    <w:rsid w:val="00264426"/>
    <w:rsid w:val="002705C0"/>
    <w:rsid w:val="00270EC8"/>
    <w:rsid w:val="002714C7"/>
    <w:rsid w:val="00272E20"/>
    <w:rsid w:val="00274353"/>
    <w:rsid w:val="002748C9"/>
    <w:rsid w:val="0027627B"/>
    <w:rsid w:val="00280CD3"/>
    <w:rsid w:val="00280CDA"/>
    <w:rsid w:val="002858C7"/>
    <w:rsid w:val="00287D90"/>
    <w:rsid w:val="00290A24"/>
    <w:rsid w:val="00295D09"/>
    <w:rsid w:val="00295FCC"/>
    <w:rsid w:val="00297D52"/>
    <w:rsid w:val="002A15A9"/>
    <w:rsid w:val="002A2013"/>
    <w:rsid w:val="002A70B3"/>
    <w:rsid w:val="002A728F"/>
    <w:rsid w:val="002B0770"/>
    <w:rsid w:val="002B32BF"/>
    <w:rsid w:val="002B44E6"/>
    <w:rsid w:val="002B4828"/>
    <w:rsid w:val="002B547F"/>
    <w:rsid w:val="002B7C62"/>
    <w:rsid w:val="002C0A9F"/>
    <w:rsid w:val="002C416F"/>
    <w:rsid w:val="002C479E"/>
    <w:rsid w:val="002C4A76"/>
    <w:rsid w:val="002C4E19"/>
    <w:rsid w:val="002C55F6"/>
    <w:rsid w:val="002C5ACA"/>
    <w:rsid w:val="002D0278"/>
    <w:rsid w:val="002D22E8"/>
    <w:rsid w:val="002D2BEE"/>
    <w:rsid w:val="002E3C2E"/>
    <w:rsid w:val="002E4A3B"/>
    <w:rsid w:val="002E52F9"/>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478FA"/>
    <w:rsid w:val="00351921"/>
    <w:rsid w:val="003527CD"/>
    <w:rsid w:val="003530FB"/>
    <w:rsid w:val="00354047"/>
    <w:rsid w:val="0035405F"/>
    <w:rsid w:val="0035468F"/>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3281"/>
    <w:rsid w:val="00393659"/>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14CF"/>
    <w:rsid w:val="00474420"/>
    <w:rsid w:val="00480F7F"/>
    <w:rsid w:val="00482E20"/>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13D"/>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44F6"/>
    <w:rsid w:val="004E6076"/>
    <w:rsid w:val="004F542A"/>
    <w:rsid w:val="004F5641"/>
    <w:rsid w:val="004F6EBD"/>
    <w:rsid w:val="0050183B"/>
    <w:rsid w:val="00501DBD"/>
    <w:rsid w:val="00502DDD"/>
    <w:rsid w:val="00503454"/>
    <w:rsid w:val="005111D4"/>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1D66"/>
    <w:rsid w:val="0053277D"/>
    <w:rsid w:val="005327CE"/>
    <w:rsid w:val="0053400D"/>
    <w:rsid w:val="00534F38"/>
    <w:rsid w:val="00540418"/>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617"/>
    <w:rsid w:val="00584F08"/>
    <w:rsid w:val="0058542E"/>
    <w:rsid w:val="00585D38"/>
    <w:rsid w:val="00587618"/>
    <w:rsid w:val="005876AE"/>
    <w:rsid w:val="005907A0"/>
    <w:rsid w:val="0059084C"/>
    <w:rsid w:val="00590C01"/>
    <w:rsid w:val="00592B24"/>
    <w:rsid w:val="005A3CCB"/>
    <w:rsid w:val="005A53BA"/>
    <w:rsid w:val="005A57AD"/>
    <w:rsid w:val="005B048C"/>
    <w:rsid w:val="005B0F75"/>
    <w:rsid w:val="005B1C69"/>
    <w:rsid w:val="005C02A4"/>
    <w:rsid w:val="005C0524"/>
    <w:rsid w:val="005C0F25"/>
    <w:rsid w:val="005C1613"/>
    <w:rsid w:val="005C1E73"/>
    <w:rsid w:val="005C36E3"/>
    <w:rsid w:val="005C4BC3"/>
    <w:rsid w:val="005D296A"/>
    <w:rsid w:val="005D3D25"/>
    <w:rsid w:val="005D5223"/>
    <w:rsid w:val="005D568E"/>
    <w:rsid w:val="005E39FD"/>
    <w:rsid w:val="005E68A5"/>
    <w:rsid w:val="005E7914"/>
    <w:rsid w:val="005F253A"/>
    <w:rsid w:val="005F3B9E"/>
    <w:rsid w:val="005F4F77"/>
    <w:rsid w:val="005F52B3"/>
    <w:rsid w:val="005F5707"/>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53D1"/>
    <w:rsid w:val="00631AAA"/>
    <w:rsid w:val="00632109"/>
    <w:rsid w:val="00632C87"/>
    <w:rsid w:val="006331B3"/>
    <w:rsid w:val="0063488B"/>
    <w:rsid w:val="006356AA"/>
    <w:rsid w:val="00637A48"/>
    <w:rsid w:val="006429DB"/>
    <w:rsid w:val="0064409F"/>
    <w:rsid w:val="006441E4"/>
    <w:rsid w:val="00650760"/>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3B49"/>
    <w:rsid w:val="006942ED"/>
    <w:rsid w:val="006944EF"/>
    <w:rsid w:val="006A04E9"/>
    <w:rsid w:val="006A289F"/>
    <w:rsid w:val="006A33FB"/>
    <w:rsid w:val="006B1FE7"/>
    <w:rsid w:val="006B4727"/>
    <w:rsid w:val="006C2C92"/>
    <w:rsid w:val="006C4213"/>
    <w:rsid w:val="006C54B8"/>
    <w:rsid w:val="006D2166"/>
    <w:rsid w:val="006D3DF1"/>
    <w:rsid w:val="006D5097"/>
    <w:rsid w:val="006D5AC5"/>
    <w:rsid w:val="006E2D9E"/>
    <w:rsid w:val="006E77DD"/>
    <w:rsid w:val="006E78A6"/>
    <w:rsid w:val="006E7F02"/>
    <w:rsid w:val="006F0CCF"/>
    <w:rsid w:val="006F2058"/>
    <w:rsid w:val="006F23B1"/>
    <w:rsid w:val="006F4379"/>
    <w:rsid w:val="006F4C3C"/>
    <w:rsid w:val="006F5412"/>
    <w:rsid w:val="006F6AC2"/>
    <w:rsid w:val="007004C7"/>
    <w:rsid w:val="00702079"/>
    <w:rsid w:val="007025F4"/>
    <w:rsid w:val="00703446"/>
    <w:rsid w:val="0070431B"/>
    <w:rsid w:val="00707693"/>
    <w:rsid w:val="007103D4"/>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A43"/>
    <w:rsid w:val="00773EBC"/>
    <w:rsid w:val="007769DF"/>
    <w:rsid w:val="00776BBF"/>
    <w:rsid w:val="00777526"/>
    <w:rsid w:val="007818C3"/>
    <w:rsid w:val="00782910"/>
    <w:rsid w:val="00786193"/>
    <w:rsid w:val="0079158C"/>
    <w:rsid w:val="00794967"/>
    <w:rsid w:val="0079582C"/>
    <w:rsid w:val="00796CB0"/>
    <w:rsid w:val="007972C6"/>
    <w:rsid w:val="007A1F12"/>
    <w:rsid w:val="007A3544"/>
    <w:rsid w:val="007A799B"/>
    <w:rsid w:val="007B2FE4"/>
    <w:rsid w:val="007B4793"/>
    <w:rsid w:val="007B6BF7"/>
    <w:rsid w:val="007B72F6"/>
    <w:rsid w:val="007B7847"/>
    <w:rsid w:val="007C12A7"/>
    <w:rsid w:val="007C1CF4"/>
    <w:rsid w:val="007C5324"/>
    <w:rsid w:val="007C590E"/>
    <w:rsid w:val="007C7BD7"/>
    <w:rsid w:val="007D1332"/>
    <w:rsid w:val="007D3166"/>
    <w:rsid w:val="007D4702"/>
    <w:rsid w:val="007D59DE"/>
    <w:rsid w:val="007D6E9A"/>
    <w:rsid w:val="007D78B3"/>
    <w:rsid w:val="007D7D18"/>
    <w:rsid w:val="007E5962"/>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2F7A"/>
    <w:rsid w:val="0083335C"/>
    <w:rsid w:val="00837D06"/>
    <w:rsid w:val="00840ED5"/>
    <w:rsid w:val="00842716"/>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1BEF"/>
    <w:rsid w:val="00883D58"/>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64D4"/>
    <w:rsid w:val="008D7129"/>
    <w:rsid w:val="008E12FF"/>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3D"/>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203F"/>
    <w:rsid w:val="009437BD"/>
    <w:rsid w:val="009458FF"/>
    <w:rsid w:val="0095031E"/>
    <w:rsid w:val="00952714"/>
    <w:rsid w:val="00953127"/>
    <w:rsid w:val="00954137"/>
    <w:rsid w:val="00955BF1"/>
    <w:rsid w:val="00957043"/>
    <w:rsid w:val="00957060"/>
    <w:rsid w:val="00957510"/>
    <w:rsid w:val="00960EC6"/>
    <w:rsid w:val="009632A0"/>
    <w:rsid w:val="00964A60"/>
    <w:rsid w:val="009650A6"/>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477C"/>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97"/>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5407"/>
    <w:rsid w:val="00A70107"/>
    <w:rsid w:val="00A74CAF"/>
    <w:rsid w:val="00A764EF"/>
    <w:rsid w:val="00A8050B"/>
    <w:rsid w:val="00A8077E"/>
    <w:rsid w:val="00A8166B"/>
    <w:rsid w:val="00A83676"/>
    <w:rsid w:val="00A852D6"/>
    <w:rsid w:val="00A85EE5"/>
    <w:rsid w:val="00A90E13"/>
    <w:rsid w:val="00A9143E"/>
    <w:rsid w:val="00A92A29"/>
    <w:rsid w:val="00A94BD0"/>
    <w:rsid w:val="00A94FC9"/>
    <w:rsid w:val="00A95577"/>
    <w:rsid w:val="00A96C1F"/>
    <w:rsid w:val="00A97E66"/>
    <w:rsid w:val="00AA16F7"/>
    <w:rsid w:val="00AA3279"/>
    <w:rsid w:val="00AA6498"/>
    <w:rsid w:val="00AA7AE3"/>
    <w:rsid w:val="00AB2062"/>
    <w:rsid w:val="00AB3613"/>
    <w:rsid w:val="00AB5D6A"/>
    <w:rsid w:val="00AC2CB6"/>
    <w:rsid w:val="00AD27C1"/>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558BB"/>
    <w:rsid w:val="00B611B8"/>
    <w:rsid w:val="00B67BC6"/>
    <w:rsid w:val="00B73EB9"/>
    <w:rsid w:val="00B82BF9"/>
    <w:rsid w:val="00B83E59"/>
    <w:rsid w:val="00B849EE"/>
    <w:rsid w:val="00B84D02"/>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7BD5"/>
    <w:rsid w:val="00BB7DA9"/>
    <w:rsid w:val="00BC4AD5"/>
    <w:rsid w:val="00BC6745"/>
    <w:rsid w:val="00BD1AAF"/>
    <w:rsid w:val="00BD248B"/>
    <w:rsid w:val="00BD2A8B"/>
    <w:rsid w:val="00BD3E4E"/>
    <w:rsid w:val="00BD5837"/>
    <w:rsid w:val="00BD7646"/>
    <w:rsid w:val="00BD7BBB"/>
    <w:rsid w:val="00BE0824"/>
    <w:rsid w:val="00BE43B1"/>
    <w:rsid w:val="00BE5B13"/>
    <w:rsid w:val="00BE5D56"/>
    <w:rsid w:val="00BE7A98"/>
    <w:rsid w:val="00BF11E1"/>
    <w:rsid w:val="00C00590"/>
    <w:rsid w:val="00C013A1"/>
    <w:rsid w:val="00C01580"/>
    <w:rsid w:val="00C0654D"/>
    <w:rsid w:val="00C06709"/>
    <w:rsid w:val="00C06DD7"/>
    <w:rsid w:val="00C1028E"/>
    <w:rsid w:val="00C105A6"/>
    <w:rsid w:val="00C10C63"/>
    <w:rsid w:val="00C1279C"/>
    <w:rsid w:val="00C14867"/>
    <w:rsid w:val="00C16E53"/>
    <w:rsid w:val="00C17841"/>
    <w:rsid w:val="00C255BB"/>
    <w:rsid w:val="00C26CE0"/>
    <w:rsid w:val="00C27323"/>
    <w:rsid w:val="00C30B88"/>
    <w:rsid w:val="00C346B4"/>
    <w:rsid w:val="00C379D0"/>
    <w:rsid w:val="00C404CF"/>
    <w:rsid w:val="00C411EA"/>
    <w:rsid w:val="00C431B4"/>
    <w:rsid w:val="00C4471C"/>
    <w:rsid w:val="00C458D3"/>
    <w:rsid w:val="00C502CF"/>
    <w:rsid w:val="00C50527"/>
    <w:rsid w:val="00C509E2"/>
    <w:rsid w:val="00C51FAB"/>
    <w:rsid w:val="00C5304F"/>
    <w:rsid w:val="00C53587"/>
    <w:rsid w:val="00C5373A"/>
    <w:rsid w:val="00C53B18"/>
    <w:rsid w:val="00C55BBF"/>
    <w:rsid w:val="00C55F01"/>
    <w:rsid w:val="00C60544"/>
    <w:rsid w:val="00C6076C"/>
    <w:rsid w:val="00C60DEB"/>
    <w:rsid w:val="00C629E1"/>
    <w:rsid w:val="00C63175"/>
    <w:rsid w:val="00C63CF1"/>
    <w:rsid w:val="00C64634"/>
    <w:rsid w:val="00C66322"/>
    <w:rsid w:val="00C6715B"/>
    <w:rsid w:val="00C705F6"/>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299E"/>
    <w:rsid w:val="00CD4E92"/>
    <w:rsid w:val="00CD656B"/>
    <w:rsid w:val="00CD6D9A"/>
    <w:rsid w:val="00CD7F3F"/>
    <w:rsid w:val="00CE038F"/>
    <w:rsid w:val="00CE04CE"/>
    <w:rsid w:val="00CE45FC"/>
    <w:rsid w:val="00CE5C1A"/>
    <w:rsid w:val="00CF2D36"/>
    <w:rsid w:val="00CF342E"/>
    <w:rsid w:val="00D00E92"/>
    <w:rsid w:val="00D055EC"/>
    <w:rsid w:val="00D10F96"/>
    <w:rsid w:val="00D11F33"/>
    <w:rsid w:val="00D12816"/>
    <w:rsid w:val="00D13E7D"/>
    <w:rsid w:val="00D14208"/>
    <w:rsid w:val="00D1757C"/>
    <w:rsid w:val="00D234B6"/>
    <w:rsid w:val="00D254F0"/>
    <w:rsid w:val="00D27B9B"/>
    <w:rsid w:val="00D3018F"/>
    <w:rsid w:val="00D32544"/>
    <w:rsid w:val="00D34D7A"/>
    <w:rsid w:val="00D351EE"/>
    <w:rsid w:val="00D35411"/>
    <w:rsid w:val="00D3669D"/>
    <w:rsid w:val="00D37294"/>
    <w:rsid w:val="00D378C5"/>
    <w:rsid w:val="00D37DC9"/>
    <w:rsid w:val="00D43342"/>
    <w:rsid w:val="00D4394E"/>
    <w:rsid w:val="00D44728"/>
    <w:rsid w:val="00D45237"/>
    <w:rsid w:val="00D52FF5"/>
    <w:rsid w:val="00D55E41"/>
    <w:rsid w:val="00D56088"/>
    <w:rsid w:val="00D562FF"/>
    <w:rsid w:val="00D62468"/>
    <w:rsid w:val="00D628F8"/>
    <w:rsid w:val="00D63571"/>
    <w:rsid w:val="00D66910"/>
    <w:rsid w:val="00D6706B"/>
    <w:rsid w:val="00D700D5"/>
    <w:rsid w:val="00D71A33"/>
    <w:rsid w:val="00D73B4D"/>
    <w:rsid w:val="00D7657E"/>
    <w:rsid w:val="00D844B8"/>
    <w:rsid w:val="00D854E6"/>
    <w:rsid w:val="00D8596D"/>
    <w:rsid w:val="00D86C30"/>
    <w:rsid w:val="00D92473"/>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B4"/>
    <w:rsid w:val="00DE2F50"/>
    <w:rsid w:val="00DE4269"/>
    <w:rsid w:val="00DE5274"/>
    <w:rsid w:val="00DE621F"/>
    <w:rsid w:val="00DE62C8"/>
    <w:rsid w:val="00DE6B8B"/>
    <w:rsid w:val="00DF0216"/>
    <w:rsid w:val="00DF2160"/>
    <w:rsid w:val="00DF2E09"/>
    <w:rsid w:val="00DF325D"/>
    <w:rsid w:val="00DF386E"/>
    <w:rsid w:val="00DF56C9"/>
    <w:rsid w:val="00DF6AC4"/>
    <w:rsid w:val="00E004F0"/>
    <w:rsid w:val="00E007EC"/>
    <w:rsid w:val="00E01158"/>
    <w:rsid w:val="00E03CED"/>
    <w:rsid w:val="00E0449B"/>
    <w:rsid w:val="00E04E64"/>
    <w:rsid w:val="00E06027"/>
    <w:rsid w:val="00E06CA7"/>
    <w:rsid w:val="00E1077F"/>
    <w:rsid w:val="00E119AC"/>
    <w:rsid w:val="00E2165E"/>
    <w:rsid w:val="00E23867"/>
    <w:rsid w:val="00E23A75"/>
    <w:rsid w:val="00E2421E"/>
    <w:rsid w:val="00E25A1C"/>
    <w:rsid w:val="00E30318"/>
    <w:rsid w:val="00E32708"/>
    <w:rsid w:val="00E32B77"/>
    <w:rsid w:val="00E33BBD"/>
    <w:rsid w:val="00E37034"/>
    <w:rsid w:val="00E37782"/>
    <w:rsid w:val="00E44022"/>
    <w:rsid w:val="00E442EC"/>
    <w:rsid w:val="00E505EF"/>
    <w:rsid w:val="00E514F6"/>
    <w:rsid w:val="00E545B2"/>
    <w:rsid w:val="00E57C06"/>
    <w:rsid w:val="00E651B5"/>
    <w:rsid w:val="00E65B2D"/>
    <w:rsid w:val="00E70E56"/>
    <w:rsid w:val="00E75CE5"/>
    <w:rsid w:val="00E768E8"/>
    <w:rsid w:val="00E8055E"/>
    <w:rsid w:val="00E82195"/>
    <w:rsid w:val="00E828CB"/>
    <w:rsid w:val="00E83362"/>
    <w:rsid w:val="00E87962"/>
    <w:rsid w:val="00E90D36"/>
    <w:rsid w:val="00E913D9"/>
    <w:rsid w:val="00E91553"/>
    <w:rsid w:val="00E94AAC"/>
    <w:rsid w:val="00E96135"/>
    <w:rsid w:val="00EA186A"/>
    <w:rsid w:val="00EA19C2"/>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4151"/>
    <w:rsid w:val="00ED518E"/>
    <w:rsid w:val="00ED5680"/>
    <w:rsid w:val="00ED6126"/>
    <w:rsid w:val="00ED63C8"/>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C0"/>
    <w:rsid w:val="00F17C0D"/>
    <w:rsid w:val="00F20F31"/>
    <w:rsid w:val="00F2612E"/>
    <w:rsid w:val="00F30A85"/>
    <w:rsid w:val="00F32EC8"/>
    <w:rsid w:val="00F34C98"/>
    <w:rsid w:val="00F364E9"/>
    <w:rsid w:val="00F378E3"/>
    <w:rsid w:val="00F40A84"/>
    <w:rsid w:val="00F424B7"/>
    <w:rsid w:val="00F4519D"/>
    <w:rsid w:val="00F46140"/>
    <w:rsid w:val="00F50FC7"/>
    <w:rsid w:val="00F52C6D"/>
    <w:rsid w:val="00F53A3B"/>
    <w:rsid w:val="00F54856"/>
    <w:rsid w:val="00F54920"/>
    <w:rsid w:val="00F56F0F"/>
    <w:rsid w:val="00F5748D"/>
    <w:rsid w:val="00F600C9"/>
    <w:rsid w:val="00F61707"/>
    <w:rsid w:val="00F619D6"/>
    <w:rsid w:val="00F6319C"/>
    <w:rsid w:val="00F6438A"/>
    <w:rsid w:val="00F70304"/>
    <w:rsid w:val="00F72CE6"/>
    <w:rsid w:val="00F755D0"/>
    <w:rsid w:val="00F77058"/>
    <w:rsid w:val="00F775B3"/>
    <w:rsid w:val="00F8125E"/>
    <w:rsid w:val="00F86F78"/>
    <w:rsid w:val="00F8797F"/>
    <w:rsid w:val="00F9019F"/>
    <w:rsid w:val="00F94878"/>
    <w:rsid w:val="00F94F3B"/>
    <w:rsid w:val="00F95FC8"/>
    <w:rsid w:val="00FA0D0F"/>
    <w:rsid w:val="00FA22B2"/>
    <w:rsid w:val="00FA4CD5"/>
    <w:rsid w:val="00FA7A93"/>
    <w:rsid w:val="00FB1010"/>
    <w:rsid w:val="00FB1547"/>
    <w:rsid w:val="00FB1A7D"/>
    <w:rsid w:val="00FB1D4B"/>
    <w:rsid w:val="00FB6E0E"/>
    <w:rsid w:val="00FC07F4"/>
    <w:rsid w:val="00FC23D9"/>
    <w:rsid w:val="00FC2997"/>
    <w:rsid w:val="00FC3802"/>
    <w:rsid w:val="00FC4B1B"/>
    <w:rsid w:val="00FD16BF"/>
    <w:rsid w:val="00FD5A63"/>
    <w:rsid w:val="00FE0968"/>
    <w:rsid w:val="00FE1848"/>
    <w:rsid w:val="00FE4810"/>
    <w:rsid w:val="00FE6B37"/>
    <w:rsid w:val="00FE75AC"/>
    <w:rsid w:val="00FE7EF5"/>
    <w:rsid w:val="00FF1FEF"/>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8.png"/><Relationship Id="rId26" Type="http://schemas.openxmlformats.org/officeDocument/2006/relationships/hyperlink" Target="http://es.wikipedia.org/wiki/Hidalgo_%28M%C3%A9xico%29" TargetMode="External"/><Relationship Id="rId3" Type="http://schemas.openxmlformats.org/officeDocument/2006/relationships/styles" Target="styles.xml"/><Relationship Id="rId21" Type="http://schemas.openxmlformats.org/officeDocument/2006/relationships/hyperlink" Target="http://es.wikipedia.org/wiki/M%C3%A9xico"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Estado_de_M%C3%A9xico"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Organizaci%C3%B3n_territorial_de_M%C3%A9xic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yperlink" Target="http://es.wikipedia.org/wiki/Puebl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Antonio_de_Mendoza" TargetMode="Externa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hyperlink" Target="http://es.wikipedia.org/wiki/Nueva_Espa%C3%B1a"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12B16-73F5-4440-B80C-9928F99A8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10868</Words>
  <Characters>59776</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2021-04-14T18:29:00Z</cp:lastPrinted>
  <dcterms:created xsi:type="dcterms:W3CDTF">2021-07-28T16:10:00Z</dcterms:created>
  <dcterms:modified xsi:type="dcterms:W3CDTF">2021-07-28T16:10:00Z</dcterms:modified>
</cp:coreProperties>
</file>