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470806605"/>
    <w:bookmarkEnd w:id="0"/>
    <w:p w14:paraId="620EF8A7" w14:textId="7AA06007" w:rsidR="00D02A9A" w:rsidRDefault="00825002" w:rsidP="00BD3F4D">
      <w:pPr>
        <w:ind w:left="708" w:hanging="708"/>
        <w:jc w:val="center"/>
      </w:pPr>
      <w:r>
        <w:object w:dxaOrig="21945" w:dyaOrig="16440" w14:anchorId="620EF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75pt;height:478.5pt" o:ole="">
            <v:imagedata r:id="rId8" o:title=""/>
          </v:shape>
          <o:OLEObject Type="Embed" ProgID="Excel.Sheet.12" ShapeID="_x0000_i1025" DrawAspect="Content" ObjectID="_1695122084" r:id="rId9"/>
        </w:object>
      </w:r>
    </w:p>
    <w:p w14:paraId="620EF8A8" w14:textId="77777777" w:rsidR="00C35527" w:rsidRDefault="00D565C6" w:rsidP="00421166">
      <w:r>
        <w:rPr>
          <w:noProof/>
          <w:lang w:eastAsia="es-MX"/>
        </w:rPr>
        <w:lastRenderedPageBreak/>
        <w:object w:dxaOrig="21945" w:dyaOrig="16440" w14:anchorId="620EFA99">
          <v:shape id="_x0000_s1080" type="#_x0000_t75" style="position:absolute;margin-left:-5.55pt;margin-top:36.2pt;width:696.3pt;height:389.15pt;z-index:251676672;mso-position-horizontal-relative:text;mso-position-vertical-relative:text">
            <v:imagedata r:id="rId10" o:title=""/>
            <w10:wrap type="square" side="right"/>
          </v:shape>
          <o:OLEObject Type="Embed" ProgID="Excel.Sheet.12" ShapeID="_x0000_s1080" DrawAspect="Content" ObjectID="_1695122088" r:id="rId11"/>
        </w:object>
      </w:r>
    </w:p>
    <w:p w14:paraId="620EF8AA" w14:textId="7C44CFDD" w:rsidR="00A27BC6" w:rsidRDefault="00A27BC6" w:rsidP="002F2346"/>
    <w:p w14:paraId="3054A355" w14:textId="76E74BB7" w:rsidR="00F81A16" w:rsidRDefault="00D565C6" w:rsidP="00003BED">
      <w:pPr>
        <w:spacing w:after="0"/>
      </w:pPr>
      <w:r>
        <w:rPr>
          <w:noProof/>
        </w:rPr>
        <w:lastRenderedPageBreak/>
        <w:object w:dxaOrig="21945" w:dyaOrig="16440" w14:anchorId="620EFA9A">
          <v:shape id="_x0000_s1067" type="#_x0000_t75" style="position:absolute;margin-left:-5.8pt;margin-top:8.95pt;width:694.15pt;height:332.25pt;z-index:251670528;mso-position-horizontal-relative:text;mso-position-vertical-relative:text">
            <v:imagedata r:id="rId12" o:title=""/>
            <w10:wrap type="square" side="left"/>
          </v:shape>
          <o:OLEObject Type="Embed" ProgID="Excel.Sheet.12" ShapeID="_x0000_s1067" DrawAspect="Content" ObjectID="_1695122089" r:id="rId13"/>
        </w:object>
      </w:r>
    </w:p>
    <w:p w14:paraId="6A50821D" w14:textId="77777777" w:rsidR="0038789E" w:rsidRDefault="0038789E" w:rsidP="00003BED">
      <w:pPr>
        <w:spacing w:after="0"/>
      </w:pPr>
    </w:p>
    <w:bookmarkStart w:id="1" w:name="_MON_1470807348"/>
    <w:bookmarkEnd w:id="1"/>
    <w:p w14:paraId="620EF8AC" w14:textId="544C02CB" w:rsidR="00372F40" w:rsidRDefault="00F07427" w:rsidP="008E3652">
      <w:pPr>
        <w:jc w:val="center"/>
      </w:pPr>
      <w:r>
        <w:object w:dxaOrig="18179" w:dyaOrig="12404" w14:anchorId="620EFA9B">
          <v:shape id="_x0000_i1028" type="#_x0000_t75" style="width:695.25pt;height:428.25pt" o:ole="">
            <v:imagedata r:id="rId14" o:title=""/>
          </v:shape>
          <o:OLEObject Type="Embed" ProgID="Excel.Sheet.12" ShapeID="_x0000_i1028" DrawAspect="Content" ObjectID="_1695122085" r:id="rId15"/>
        </w:object>
      </w:r>
    </w:p>
    <w:p w14:paraId="620EF8AD" w14:textId="48757937" w:rsidR="005A7647" w:rsidRDefault="005A7647" w:rsidP="004A7C02">
      <w:pPr>
        <w:spacing w:after="0"/>
        <w:jc w:val="center"/>
      </w:pPr>
    </w:p>
    <w:p w14:paraId="620EF8AF" w14:textId="207CDA15" w:rsidR="00372F40" w:rsidRDefault="00372F40" w:rsidP="0046720D"/>
    <w:p w14:paraId="7FCEEBB7" w14:textId="70C7149E" w:rsidR="004A7C02" w:rsidRDefault="00D565C6" w:rsidP="004A7C02">
      <w:pPr>
        <w:tabs>
          <w:tab w:val="left" w:pos="2430"/>
        </w:tabs>
        <w:spacing w:after="0"/>
      </w:pPr>
      <w:r>
        <w:rPr>
          <w:noProof/>
        </w:rPr>
        <w:object w:dxaOrig="21945" w:dyaOrig="16440" w14:anchorId="620EFA9C">
          <v:shape id="_x0000_s1061" type="#_x0000_t75" style="position:absolute;margin-left:2.1pt;margin-top:22.85pt;width:681.15pt;height:347.95pt;z-index:251668480;mso-position-horizontal-relative:text;mso-position-vertical-relative:text">
            <v:imagedata r:id="rId16" o:title=""/>
            <w10:wrap type="square" side="right"/>
          </v:shape>
          <o:OLEObject Type="Embed" ProgID="Excel.Sheet.12" ShapeID="_x0000_s1061" DrawAspect="Content" ObjectID="_1695122090" r:id="rId17"/>
        </w:object>
      </w:r>
    </w:p>
    <w:p w14:paraId="6AE7E97D" w14:textId="5DF55140" w:rsidR="004A7C02" w:rsidRDefault="004A7C02" w:rsidP="004A7C02">
      <w:pPr>
        <w:tabs>
          <w:tab w:val="left" w:pos="2430"/>
        </w:tabs>
        <w:spacing w:after="0"/>
      </w:pPr>
    </w:p>
    <w:p w14:paraId="273AF35F" w14:textId="77777777" w:rsidR="004A7C02" w:rsidRDefault="004A7C02" w:rsidP="004A7C02">
      <w:pPr>
        <w:tabs>
          <w:tab w:val="left" w:pos="2430"/>
        </w:tabs>
        <w:spacing w:after="0"/>
      </w:pPr>
    </w:p>
    <w:bookmarkStart w:id="2" w:name="_MON_1470814596"/>
    <w:bookmarkEnd w:id="2"/>
    <w:p w14:paraId="620EF8B0" w14:textId="2BFDB669" w:rsidR="00E32708" w:rsidRDefault="00884C13" w:rsidP="00E32708">
      <w:pPr>
        <w:tabs>
          <w:tab w:val="left" w:pos="2430"/>
        </w:tabs>
        <w:jc w:val="center"/>
      </w:pPr>
      <w:r>
        <w:object w:dxaOrig="19371" w:dyaOrig="14656" w14:anchorId="620EFA9D">
          <v:shape id="_x0000_i1030" type="#_x0000_t75" style="width:695.25pt;height:411.75pt" o:ole="">
            <v:imagedata r:id="rId18" o:title=""/>
          </v:shape>
          <o:OLEObject Type="Embed" ProgID="Excel.Sheet.12" ShapeID="_x0000_i1030" DrawAspect="Content" ObjectID="_1695122086" r:id="rId19"/>
        </w:object>
      </w:r>
    </w:p>
    <w:p w14:paraId="7429B846" w14:textId="77777777" w:rsidR="000F59F8" w:rsidRDefault="000F59F8" w:rsidP="00E32708">
      <w:pPr>
        <w:tabs>
          <w:tab w:val="left" w:pos="2430"/>
        </w:tabs>
        <w:jc w:val="center"/>
      </w:pPr>
    </w:p>
    <w:bookmarkStart w:id="3" w:name="_MON_1470810366"/>
    <w:bookmarkEnd w:id="3"/>
    <w:p w14:paraId="620EF8B1" w14:textId="1B4108B3" w:rsidR="00E32708" w:rsidRDefault="00884C13" w:rsidP="00E32708">
      <w:pPr>
        <w:tabs>
          <w:tab w:val="left" w:pos="2430"/>
        </w:tabs>
        <w:jc w:val="center"/>
      </w:pPr>
      <w:r>
        <w:object w:dxaOrig="25922" w:dyaOrig="16771" w14:anchorId="620EFA9E">
          <v:shape id="_x0000_i1031" type="#_x0000_t75" style="width:702.75pt;height:418.5pt" o:ole="">
            <v:imagedata r:id="rId20" o:title=""/>
          </v:shape>
          <o:OLEObject Type="Embed" ProgID="Excel.Sheet.12" ShapeID="_x0000_i1031" DrawAspect="Content" ObjectID="_1695122087" r:id="rId21"/>
        </w:object>
      </w:r>
    </w:p>
    <w:p w14:paraId="620EF8B2" w14:textId="4542FE32" w:rsidR="00372F40" w:rsidRDefault="00372F40">
      <w:pPr>
        <w:rPr>
          <w:rFonts w:ascii="Arial" w:hAnsi="Arial" w:cs="Arial"/>
        </w:rPr>
      </w:pPr>
    </w:p>
    <w:p w14:paraId="361E9071" w14:textId="4D981571" w:rsidR="00D866BC" w:rsidRDefault="00D866BC">
      <w:pPr>
        <w:rPr>
          <w:rFonts w:ascii="Arial" w:hAnsi="Arial" w:cs="Arial"/>
        </w:rPr>
      </w:pPr>
    </w:p>
    <w:p w14:paraId="5E7B7A73" w14:textId="77777777" w:rsidR="00D866BC" w:rsidRPr="0079784C" w:rsidRDefault="00D866BC">
      <w:pPr>
        <w:rPr>
          <w:rFonts w:ascii="Arial" w:hAnsi="Arial" w:cs="Arial"/>
        </w:rPr>
      </w:pPr>
    </w:p>
    <w:p w14:paraId="620EF8B3" w14:textId="77777777" w:rsidR="00372F40" w:rsidRPr="005C09F0" w:rsidRDefault="00540418" w:rsidP="00540418">
      <w:pPr>
        <w:jc w:val="center"/>
        <w:rPr>
          <w:rFonts w:ascii="Arial" w:hAnsi="Arial" w:cs="Arial"/>
        </w:rPr>
      </w:pPr>
      <w:r w:rsidRPr="005C09F0">
        <w:rPr>
          <w:rFonts w:ascii="Arial" w:hAnsi="Arial" w:cs="Arial"/>
        </w:rPr>
        <w:t>Informe de Pasivos Contingentes</w:t>
      </w:r>
    </w:p>
    <w:p w14:paraId="620EF8B4" w14:textId="3929DC96" w:rsidR="00372F40" w:rsidRPr="005C09F0" w:rsidRDefault="00D4060F" w:rsidP="0079582C">
      <w:pPr>
        <w:jc w:val="center"/>
        <w:rPr>
          <w:rFonts w:ascii="Arial" w:hAnsi="Arial" w:cs="Arial"/>
        </w:rPr>
      </w:pPr>
      <w:r w:rsidRPr="005C09F0">
        <w:rPr>
          <w:rFonts w:ascii="Arial" w:hAnsi="Arial" w:cs="Arial"/>
        </w:rPr>
        <w:t>20</w:t>
      </w:r>
      <w:r w:rsidR="001212A3" w:rsidRPr="005C09F0">
        <w:rPr>
          <w:rFonts w:ascii="Arial" w:hAnsi="Arial" w:cs="Arial"/>
        </w:rPr>
        <w:t>2</w:t>
      </w:r>
      <w:r w:rsidR="0039523A">
        <w:rPr>
          <w:rFonts w:ascii="Arial" w:hAnsi="Arial" w:cs="Arial"/>
        </w:rPr>
        <w:t>1</w:t>
      </w:r>
    </w:p>
    <w:p w14:paraId="620EF8B5" w14:textId="77777777" w:rsidR="00540418" w:rsidRPr="005C09F0" w:rsidRDefault="00540418">
      <w:pPr>
        <w:rPr>
          <w:rFonts w:ascii="Arial" w:hAnsi="Arial" w:cs="Arial"/>
        </w:rPr>
      </w:pPr>
    </w:p>
    <w:p w14:paraId="620EF8B6" w14:textId="0EE2CB3D" w:rsidR="0079582C" w:rsidRPr="00DC24B0" w:rsidRDefault="0006654C" w:rsidP="00DC24B0">
      <w:pPr>
        <w:ind w:left="360"/>
        <w:jc w:val="both"/>
        <w:rPr>
          <w:rFonts w:ascii="Arial" w:hAnsi="Arial" w:cs="Arial"/>
        </w:rPr>
      </w:pPr>
      <w:r w:rsidRPr="00E812F9">
        <w:rPr>
          <w:rFonts w:ascii="Arial" w:hAnsi="Arial" w:cs="Arial"/>
        </w:rPr>
        <w:t>Según oficio OCYA-</w:t>
      </w:r>
      <w:r w:rsidR="00260E91">
        <w:rPr>
          <w:rFonts w:ascii="Arial" w:hAnsi="Arial" w:cs="Arial"/>
        </w:rPr>
        <w:t>134</w:t>
      </w:r>
      <w:r w:rsidRPr="00E812F9">
        <w:rPr>
          <w:rFonts w:ascii="Arial" w:hAnsi="Arial" w:cs="Arial"/>
        </w:rPr>
        <w:t>-2021, del Departamento de Asuntos Jurídicos, l</w:t>
      </w:r>
      <w:r w:rsidR="00C82590" w:rsidRPr="00E812F9">
        <w:rPr>
          <w:rFonts w:ascii="Arial" w:hAnsi="Arial" w:cs="Arial"/>
        </w:rPr>
        <w:t>a Secretaría de Salud y O.P.D. Salud de Tlaxcala</w:t>
      </w:r>
      <w:r w:rsidR="00A055E1" w:rsidRPr="00E812F9">
        <w:rPr>
          <w:rFonts w:ascii="Arial" w:hAnsi="Arial" w:cs="Arial"/>
        </w:rPr>
        <w:t xml:space="preserve"> lleva litigios </w:t>
      </w:r>
      <w:r w:rsidR="003211CB" w:rsidRPr="00E812F9">
        <w:rPr>
          <w:rFonts w:ascii="Arial" w:hAnsi="Arial" w:cs="Arial"/>
        </w:rPr>
        <w:t>e</w:t>
      </w:r>
      <w:r w:rsidR="00A055E1" w:rsidRPr="00E812F9">
        <w:rPr>
          <w:rFonts w:ascii="Arial" w:hAnsi="Arial" w:cs="Arial"/>
        </w:rPr>
        <w:t xml:space="preserve">n materia laboral </w:t>
      </w:r>
      <w:r w:rsidR="00DC24B0" w:rsidRPr="00E812F9">
        <w:rPr>
          <w:rFonts w:ascii="Arial" w:hAnsi="Arial" w:cs="Arial"/>
        </w:rPr>
        <w:t>por</w:t>
      </w:r>
      <w:r w:rsidR="00901BC6" w:rsidRPr="00E812F9">
        <w:rPr>
          <w:rFonts w:ascii="Arial" w:hAnsi="Arial" w:cs="Arial"/>
        </w:rPr>
        <w:t xml:space="preserve"> un monto estimado </w:t>
      </w:r>
      <w:r w:rsidR="00DC24B0" w:rsidRPr="00E812F9">
        <w:rPr>
          <w:rFonts w:ascii="Arial" w:hAnsi="Arial" w:cs="Arial"/>
        </w:rPr>
        <w:t xml:space="preserve">de </w:t>
      </w:r>
      <w:r w:rsidR="00901BC6" w:rsidRPr="00E812F9">
        <w:rPr>
          <w:rFonts w:ascii="Arial" w:hAnsi="Arial" w:cs="Arial"/>
        </w:rPr>
        <w:t>$</w:t>
      </w:r>
      <w:r w:rsidR="00260E91">
        <w:rPr>
          <w:rFonts w:ascii="Arial" w:hAnsi="Arial" w:cs="Arial"/>
        </w:rPr>
        <w:t>45,245,635.61</w:t>
      </w:r>
      <w:r w:rsidR="00B801F3" w:rsidRPr="00E812F9">
        <w:rPr>
          <w:rFonts w:ascii="Arial" w:hAnsi="Arial" w:cs="Arial"/>
        </w:rPr>
        <w:t xml:space="preserve"> </w:t>
      </w:r>
      <w:r w:rsidR="003F1C15" w:rsidRPr="00E812F9">
        <w:rPr>
          <w:rFonts w:ascii="Arial" w:hAnsi="Arial" w:cs="Arial"/>
        </w:rPr>
        <w:t xml:space="preserve">al </w:t>
      </w:r>
      <w:r w:rsidR="005C09F0" w:rsidRPr="00E812F9">
        <w:rPr>
          <w:rFonts w:ascii="Arial" w:hAnsi="Arial" w:cs="Arial"/>
        </w:rPr>
        <w:t>3</w:t>
      </w:r>
      <w:r w:rsidR="00FC11A3">
        <w:rPr>
          <w:rFonts w:ascii="Arial" w:hAnsi="Arial" w:cs="Arial"/>
        </w:rPr>
        <w:t>0</w:t>
      </w:r>
      <w:r w:rsidR="003F1C15" w:rsidRPr="00E812F9">
        <w:rPr>
          <w:rFonts w:ascii="Arial" w:hAnsi="Arial" w:cs="Arial"/>
        </w:rPr>
        <w:t xml:space="preserve"> de </w:t>
      </w:r>
      <w:r w:rsidR="00260E91">
        <w:rPr>
          <w:rFonts w:ascii="Arial" w:hAnsi="Arial" w:cs="Arial"/>
        </w:rPr>
        <w:t>septiembre</w:t>
      </w:r>
      <w:r w:rsidR="003F1C15" w:rsidRPr="00E812F9">
        <w:rPr>
          <w:rFonts w:ascii="Arial" w:hAnsi="Arial" w:cs="Arial"/>
        </w:rPr>
        <w:t xml:space="preserve"> de 20</w:t>
      </w:r>
      <w:r w:rsidR="009632E1" w:rsidRPr="00E812F9">
        <w:rPr>
          <w:rFonts w:ascii="Arial" w:hAnsi="Arial" w:cs="Arial"/>
        </w:rPr>
        <w:t>2</w:t>
      </w:r>
      <w:r w:rsidR="0039523A" w:rsidRPr="00E812F9">
        <w:rPr>
          <w:rFonts w:ascii="Arial" w:hAnsi="Arial" w:cs="Arial"/>
        </w:rPr>
        <w:t>1</w:t>
      </w:r>
      <w:r w:rsidR="003F1C15" w:rsidRPr="00E812F9">
        <w:rPr>
          <w:rFonts w:ascii="Arial" w:hAnsi="Arial" w:cs="Arial"/>
        </w:rPr>
        <w:t>,</w:t>
      </w:r>
      <w:r w:rsidR="00EE05BC">
        <w:rPr>
          <w:rFonts w:ascii="Arial" w:hAnsi="Arial" w:cs="Arial"/>
        </w:rPr>
        <w:t xml:space="preserve"> y según oficio 5018-180-2020 en materia administrativa un monto de $20,000,000.00,</w:t>
      </w:r>
      <w:r w:rsidR="003F1C15" w:rsidRPr="00E812F9">
        <w:rPr>
          <w:rFonts w:ascii="Arial" w:hAnsi="Arial" w:cs="Arial"/>
        </w:rPr>
        <w:t xml:space="preserve"> </w:t>
      </w:r>
      <w:r w:rsidR="00A055E1" w:rsidRPr="00E812F9">
        <w:rPr>
          <w:rFonts w:ascii="Arial" w:hAnsi="Arial" w:cs="Arial"/>
        </w:rPr>
        <w:t>mismos que</w:t>
      </w:r>
      <w:r w:rsidR="00C82590" w:rsidRPr="00E812F9">
        <w:rPr>
          <w:rFonts w:ascii="Arial" w:hAnsi="Arial" w:cs="Arial"/>
        </w:rPr>
        <w:t xml:space="preserve"> </w:t>
      </w:r>
      <w:r w:rsidR="00D4060F" w:rsidRPr="00E812F9">
        <w:rPr>
          <w:rFonts w:ascii="Arial" w:hAnsi="Arial" w:cs="Arial"/>
        </w:rPr>
        <w:t xml:space="preserve">no </w:t>
      </w:r>
      <w:r w:rsidR="00561D8D" w:rsidRPr="00E812F9">
        <w:rPr>
          <w:rFonts w:ascii="Arial" w:hAnsi="Arial" w:cs="Arial"/>
        </w:rPr>
        <w:t>se</w:t>
      </w:r>
      <w:r w:rsidR="00C95D68" w:rsidRPr="00E812F9">
        <w:rPr>
          <w:rFonts w:ascii="Arial" w:hAnsi="Arial" w:cs="Arial"/>
        </w:rPr>
        <w:t xml:space="preserve"> han</w:t>
      </w:r>
      <w:r w:rsidR="00561D8D" w:rsidRPr="00E812F9">
        <w:rPr>
          <w:rFonts w:ascii="Arial" w:hAnsi="Arial" w:cs="Arial"/>
        </w:rPr>
        <w:t xml:space="preserve"> </w:t>
      </w:r>
      <w:r w:rsidR="00A055E1" w:rsidRPr="00E812F9">
        <w:rPr>
          <w:rFonts w:ascii="Arial" w:hAnsi="Arial" w:cs="Arial"/>
        </w:rPr>
        <w:t>registrado</w:t>
      </w:r>
      <w:r w:rsidR="00D4060F" w:rsidRPr="00E812F9">
        <w:rPr>
          <w:rFonts w:ascii="Arial" w:hAnsi="Arial" w:cs="Arial"/>
        </w:rPr>
        <w:t xml:space="preserve"> </w:t>
      </w:r>
      <w:r w:rsidR="00A055E1" w:rsidRPr="00E812F9">
        <w:rPr>
          <w:rFonts w:ascii="Arial" w:hAnsi="Arial" w:cs="Arial"/>
        </w:rPr>
        <w:t xml:space="preserve">como </w:t>
      </w:r>
      <w:r w:rsidR="00D4060F" w:rsidRPr="00E812F9">
        <w:rPr>
          <w:rFonts w:ascii="Arial" w:hAnsi="Arial" w:cs="Arial"/>
        </w:rPr>
        <w:t>Pasivos de Contingencia</w:t>
      </w:r>
      <w:r w:rsidR="00A055E1" w:rsidRPr="00E812F9">
        <w:rPr>
          <w:rFonts w:ascii="Arial" w:hAnsi="Arial" w:cs="Arial"/>
        </w:rPr>
        <w:t xml:space="preserve">, </w:t>
      </w:r>
      <w:r w:rsidR="00D866BC" w:rsidRPr="00E812F9">
        <w:rPr>
          <w:rFonts w:ascii="Arial" w:hAnsi="Arial" w:cs="Arial"/>
        </w:rPr>
        <w:t>y</w:t>
      </w:r>
      <w:r w:rsidR="00444E9B" w:rsidRPr="00E812F9">
        <w:rPr>
          <w:rFonts w:ascii="Arial" w:hAnsi="Arial" w:cs="Arial"/>
        </w:rPr>
        <w:t xml:space="preserve"> que </w:t>
      </w:r>
      <w:r w:rsidR="00A055E1" w:rsidRPr="00E812F9">
        <w:rPr>
          <w:rFonts w:ascii="Arial" w:hAnsi="Arial" w:cs="Arial"/>
        </w:rPr>
        <w:t>no se tiene un presupuesto asignado</w:t>
      </w:r>
      <w:r w:rsidR="00D1066D">
        <w:rPr>
          <w:rFonts w:ascii="Arial" w:hAnsi="Arial" w:cs="Arial"/>
        </w:rPr>
        <w:t>, tampoco el Organismo</w:t>
      </w:r>
      <w:r w:rsidR="00D1066D" w:rsidRPr="00E812F9">
        <w:rPr>
          <w:rFonts w:ascii="Arial" w:hAnsi="Arial" w:cs="Arial"/>
        </w:rPr>
        <w:t xml:space="preserve"> tiene un presupuesto asignado</w:t>
      </w:r>
      <w:r w:rsidR="00D1066D">
        <w:rPr>
          <w:rFonts w:ascii="Arial" w:hAnsi="Arial" w:cs="Arial"/>
        </w:rPr>
        <w:t xml:space="preserve"> para los citados importes de temas laborales</w:t>
      </w:r>
      <w:r w:rsidR="00A055E1" w:rsidRPr="00E812F9">
        <w:rPr>
          <w:rFonts w:ascii="Arial" w:hAnsi="Arial" w:cs="Arial"/>
        </w:rPr>
        <w:t>.</w:t>
      </w:r>
    </w:p>
    <w:p w14:paraId="620EF8B7" w14:textId="77777777" w:rsidR="0079582C" w:rsidRPr="0079784C" w:rsidRDefault="0079582C" w:rsidP="00D4060F">
      <w:pPr>
        <w:pStyle w:val="Prrafodelista"/>
        <w:rPr>
          <w:rFonts w:ascii="Arial" w:hAnsi="Arial" w:cs="Arial"/>
        </w:rPr>
      </w:pPr>
    </w:p>
    <w:p w14:paraId="620EF8B8" w14:textId="77777777" w:rsidR="00D4060F" w:rsidRPr="0079784C" w:rsidRDefault="00D4060F" w:rsidP="00D4060F">
      <w:pPr>
        <w:pStyle w:val="Prrafodelista"/>
        <w:rPr>
          <w:rFonts w:ascii="Arial" w:hAnsi="Arial" w:cs="Arial"/>
        </w:rPr>
      </w:pPr>
    </w:p>
    <w:p w14:paraId="620EF8B9" w14:textId="77777777" w:rsidR="00D4060F" w:rsidRPr="0079784C" w:rsidRDefault="00D4060F" w:rsidP="00D4060F">
      <w:pPr>
        <w:pStyle w:val="Prrafodelista"/>
        <w:rPr>
          <w:rFonts w:ascii="Arial" w:hAnsi="Arial" w:cs="Arial"/>
        </w:rPr>
      </w:pPr>
    </w:p>
    <w:p w14:paraId="620EF8BA" w14:textId="77777777" w:rsidR="00D4060F" w:rsidRPr="0079784C" w:rsidRDefault="00D4060F" w:rsidP="00D4060F">
      <w:pPr>
        <w:pStyle w:val="Prrafodelista"/>
        <w:rPr>
          <w:rFonts w:ascii="Arial" w:hAnsi="Arial" w:cs="Arial"/>
        </w:rPr>
      </w:pPr>
    </w:p>
    <w:p w14:paraId="620EF8BB" w14:textId="77777777" w:rsidR="00D4060F" w:rsidRPr="0079784C" w:rsidRDefault="00D4060F" w:rsidP="00D4060F">
      <w:pPr>
        <w:pStyle w:val="Prrafodelista"/>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6"/>
        <w:gridCol w:w="1338"/>
        <w:gridCol w:w="5121"/>
      </w:tblGrid>
      <w:tr w:rsidR="00D4060F" w:rsidRPr="0079784C" w14:paraId="620EF8BF" w14:textId="77777777" w:rsidTr="00D4060F">
        <w:trPr>
          <w:trHeight w:val="282"/>
          <w:jc w:val="center"/>
        </w:trPr>
        <w:tc>
          <w:tcPr>
            <w:tcW w:w="5866" w:type="dxa"/>
            <w:tcBorders>
              <w:top w:val="single" w:sz="4" w:space="0" w:color="auto"/>
            </w:tcBorders>
            <w:noWrap/>
            <w:hideMark/>
          </w:tcPr>
          <w:p w14:paraId="620EF8BC" w14:textId="43DAE355" w:rsidR="00D4060F" w:rsidRPr="0079784C" w:rsidRDefault="00D4060F" w:rsidP="00F6519D">
            <w:pPr>
              <w:ind w:left="360"/>
              <w:jc w:val="center"/>
              <w:rPr>
                <w:rFonts w:ascii="Arial" w:hAnsi="Arial" w:cs="Arial"/>
              </w:rPr>
            </w:pPr>
            <w:r w:rsidRPr="0079784C">
              <w:rPr>
                <w:rFonts w:ascii="Arial" w:hAnsi="Arial" w:cs="Arial"/>
              </w:rPr>
              <w:t xml:space="preserve">Dr. </w:t>
            </w:r>
            <w:r w:rsidR="00260E91">
              <w:rPr>
                <w:rFonts w:ascii="Arial" w:hAnsi="Arial" w:cs="Arial"/>
              </w:rPr>
              <w:t>Rigoberto Zamudio Meneses</w:t>
            </w:r>
          </w:p>
        </w:tc>
        <w:tc>
          <w:tcPr>
            <w:tcW w:w="1338" w:type="dxa"/>
            <w:noWrap/>
            <w:hideMark/>
          </w:tcPr>
          <w:p w14:paraId="620EF8BD" w14:textId="77777777" w:rsidR="00D4060F" w:rsidRPr="0079784C" w:rsidRDefault="00D4060F" w:rsidP="00D4060F">
            <w:pPr>
              <w:ind w:left="360"/>
              <w:jc w:val="center"/>
              <w:rPr>
                <w:rFonts w:ascii="Arial" w:hAnsi="Arial" w:cs="Arial"/>
              </w:rPr>
            </w:pPr>
          </w:p>
        </w:tc>
        <w:tc>
          <w:tcPr>
            <w:tcW w:w="5121" w:type="dxa"/>
            <w:tcBorders>
              <w:top w:val="single" w:sz="4" w:space="0" w:color="auto"/>
            </w:tcBorders>
            <w:noWrap/>
            <w:hideMark/>
          </w:tcPr>
          <w:p w14:paraId="620EF8BE" w14:textId="67276EA0" w:rsidR="00D4060F" w:rsidRPr="0079784C" w:rsidRDefault="00260E91" w:rsidP="00033B87">
            <w:pPr>
              <w:ind w:left="360"/>
              <w:jc w:val="center"/>
              <w:rPr>
                <w:rFonts w:ascii="Arial" w:hAnsi="Arial" w:cs="Arial"/>
              </w:rPr>
            </w:pPr>
            <w:r>
              <w:rPr>
                <w:rFonts w:ascii="Arial" w:hAnsi="Arial" w:cs="Arial"/>
              </w:rPr>
              <w:t xml:space="preserve">Lic. Claudia </w:t>
            </w:r>
            <w:proofErr w:type="spellStart"/>
            <w:r>
              <w:rPr>
                <w:rFonts w:ascii="Arial" w:hAnsi="Arial" w:cs="Arial"/>
              </w:rPr>
              <w:t>Ricela</w:t>
            </w:r>
            <w:proofErr w:type="spellEnd"/>
            <w:r>
              <w:rPr>
                <w:rFonts w:ascii="Arial" w:hAnsi="Arial" w:cs="Arial"/>
              </w:rPr>
              <w:t xml:space="preserve"> Muñoz Salomón</w:t>
            </w:r>
          </w:p>
        </w:tc>
      </w:tr>
      <w:tr w:rsidR="00D4060F" w:rsidRPr="0079784C" w14:paraId="620EF8C3" w14:textId="77777777" w:rsidTr="00D4060F">
        <w:trPr>
          <w:trHeight w:val="282"/>
          <w:jc w:val="center"/>
        </w:trPr>
        <w:tc>
          <w:tcPr>
            <w:tcW w:w="5866" w:type="dxa"/>
            <w:hideMark/>
          </w:tcPr>
          <w:p w14:paraId="620EF8C0" w14:textId="2DAEABAF" w:rsidR="00D4060F" w:rsidRPr="0079784C" w:rsidRDefault="00D4060F" w:rsidP="00D4060F">
            <w:pPr>
              <w:ind w:left="360"/>
              <w:jc w:val="center"/>
              <w:rPr>
                <w:rFonts w:ascii="Arial" w:hAnsi="Arial" w:cs="Arial"/>
              </w:rPr>
            </w:pPr>
            <w:r w:rsidRPr="0079784C">
              <w:rPr>
                <w:rFonts w:ascii="Arial" w:hAnsi="Arial" w:cs="Arial"/>
              </w:rPr>
              <w:t>Secretario de Salud y Director General del O.P.D. Salud de Tlaxcala</w:t>
            </w:r>
          </w:p>
        </w:tc>
        <w:tc>
          <w:tcPr>
            <w:tcW w:w="1338" w:type="dxa"/>
            <w:noWrap/>
            <w:hideMark/>
          </w:tcPr>
          <w:p w14:paraId="620EF8C1" w14:textId="77777777" w:rsidR="00D4060F" w:rsidRPr="0079784C" w:rsidRDefault="00D4060F" w:rsidP="00D4060F">
            <w:pPr>
              <w:ind w:left="360"/>
              <w:jc w:val="center"/>
              <w:rPr>
                <w:rFonts w:ascii="Arial" w:hAnsi="Arial" w:cs="Arial"/>
              </w:rPr>
            </w:pPr>
          </w:p>
        </w:tc>
        <w:tc>
          <w:tcPr>
            <w:tcW w:w="5121" w:type="dxa"/>
            <w:hideMark/>
          </w:tcPr>
          <w:p w14:paraId="620EF8C2" w14:textId="77777777" w:rsidR="00D4060F" w:rsidRPr="0079784C" w:rsidRDefault="00D4060F" w:rsidP="00D4060F">
            <w:pPr>
              <w:ind w:left="360"/>
              <w:jc w:val="center"/>
              <w:rPr>
                <w:rFonts w:ascii="Arial" w:hAnsi="Arial" w:cs="Arial"/>
              </w:rPr>
            </w:pPr>
            <w:r w:rsidRPr="0079784C">
              <w:rPr>
                <w:rFonts w:ascii="Arial" w:hAnsi="Arial" w:cs="Arial"/>
              </w:rPr>
              <w:t>Director</w:t>
            </w:r>
            <w:r w:rsidR="007A05F1" w:rsidRPr="0079784C">
              <w:rPr>
                <w:rFonts w:ascii="Arial" w:hAnsi="Arial" w:cs="Arial"/>
              </w:rPr>
              <w:t>a</w:t>
            </w:r>
            <w:r w:rsidRPr="0079784C">
              <w:rPr>
                <w:rFonts w:ascii="Arial" w:hAnsi="Arial" w:cs="Arial"/>
              </w:rPr>
              <w:t xml:space="preserve"> de Administración de la Secretaría de Salud y O.P.D. Salud de Tlaxcala</w:t>
            </w:r>
          </w:p>
        </w:tc>
      </w:tr>
    </w:tbl>
    <w:p w14:paraId="620EF8C4" w14:textId="77777777" w:rsidR="00D4060F" w:rsidRPr="0079784C" w:rsidRDefault="00D4060F" w:rsidP="00D4060F">
      <w:pPr>
        <w:pStyle w:val="Prrafodelista"/>
        <w:rPr>
          <w:rFonts w:ascii="Arial" w:hAnsi="Arial" w:cs="Arial"/>
        </w:rPr>
      </w:pPr>
    </w:p>
    <w:p w14:paraId="620EF8C5" w14:textId="77777777" w:rsidR="00540418" w:rsidRDefault="00540418">
      <w:pPr>
        <w:rPr>
          <w:rFonts w:ascii="Soberana Sans Light" w:hAnsi="Soberana Sans Light"/>
        </w:rPr>
      </w:pPr>
      <w:r>
        <w:rPr>
          <w:rFonts w:ascii="Soberana Sans Light" w:hAnsi="Soberana Sans Light"/>
        </w:rPr>
        <w:br w:type="page"/>
      </w:r>
    </w:p>
    <w:p w14:paraId="20694EE7" w14:textId="77777777" w:rsidR="002E5ED2" w:rsidRDefault="002E5ED2" w:rsidP="00AC7F8A">
      <w:pPr>
        <w:pStyle w:val="Texto"/>
        <w:spacing w:after="0" w:line="240" w:lineRule="exact"/>
        <w:jc w:val="center"/>
        <w:rPr>
          <w:b/>
          <w:szCs w:val="18"/>
        </w:rPr>
      </w:pPr>
    </w:p>
    <w:p w14:paraId="620EF8C6" w14:textId="77777777" w:rsidR="00AC7F8A" w:rsidRPr="00630DB0" w:rsidRDefault="00AC7F8A" w:rsidP="00AC7F8A">
      <w:pPr>
        <w:pStyle w:val="Texto"/>
        <w:spacing w:after="0" w:line="240" w:lineRule="exact"/>
        <w:jc w:val="center"/>
        <w:rPr>
          <w:b/>
          <w:szCs w:val="18"/>
        </w:rPr>
      </w:pPr>
      <w:r w:rsidRPr="00630DB0">
        <w:rPr>
          <w:b/>
          <w:szCs w:val="18"/>
        </w:rPr>
        <w:t>NOTAS A LOS ESTADOS FINANCIEROS</w:t>
      </w:r>
    </w:p>
    <w:p w14:paraId="620EF8C7" w14:textId="77777777" w:rsidR="00AC7F8A" w:rsidRDefault="00AC7F8A" w:rsidP="00AC7F8A">
      <w:pPr>
        <w:pStyle w:val="Texto"/>
        <w:spacing w:after="0" w:line="240" w:lineRule="exact"/>
        <w:jc w:val="center"/>
        <w:rPr>
          <w:b/>
          <w:szCs w:val="18"/>
        </w:rPr>
      </w:pPr>
    </w:p>
    <w:p w14:paraId="620EF8C8" w14:textId="77777777" w:rsidR="00AC7F8A" w:rsidRPr="00630DB0" w:rsidRDefault="00AC7F8A" w:rsidP="00AC7F8A">
      <w:pPr>
        <w:pStyle w:val="Texto"/>
        <w:spacing w:after="0" w:line="240" w:lineRule="exact"/>
        <w:jc w:val="center"/>
        <w:rPr>
          <w:szCs w:val="18"/>
        </w:rPr>
      </w:pPr>
      <w:r w:rsidRPr="00630DB0">
        <w:rPr>
          <w:b/>
          <w:szCs w:val="18"/>
        </w:rPr>
        <w:t>a) NOTAS DE DESGLOSE</w:t>
      </w:r>
    </w:p>
    <w:p w14:paraId="620EF8C9" w14:textId="77777777" w:rsidR="00AC7F8A" w:rsidRPr="00630DB0" w:rsidRDefault="00AC7F8A" w:rsidP="00AC7F8A">
      <w:pPr>
        <w:pStyle w:val="Texto"/>
        <w:spacing w:after="0" w:line="240" w:lineRule="exact"/>
        <w:rPr>
          <w:szCs w:val="18"/>
          <w:lang w:val="es-MX"/>
        </w:rPr>
      </w:pPr>
    </w:p>
    <w:p w14:paraId="620EF8CA" w14:textId="77777777" w:rsidR="00AC7F8A" w:rsidRPr="00630DB0" w:rsidRDefault="00AC7F8A" w:rsidP="002E5ED2">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620EF8CB" w14:textId="77777777" w:rsidR="00AC7F8A" w:rsidRPr="00630DB0" w:rsidRDefault="00AC7F8A" w:rsidP="00AC7F8A">
      <w:pPr>
        <w:pStyle w:val="Texto"/>
        <w:spacing w:after="0" w:line="240" w:lineRule="exact"/>
        <w:rPr>
          <w:b/>
          <w:szCs w:val="18"/>
          <w:lang w:val="es-MX"/>
        </w:rPr>
      </w:pPr>
    </w:p>
    <w:p w14:paraId="620EF8CC" w14:textId="77777777" w:rsidR="00AC7F8A" w:rsidRPr="00630DB0" w:rsidRDefault="00AC7F8A" w:rsidP="00AC7F8A">
      <w:pPr>
        <w:pStyle w:val="Texto"/>
        <w:spacing w:after="0" w:line="240" w:lineRule="exact"/>
        <w:rPr>
          <w:b/>
          <w:szCs w:val="18"/>
          <w:lang w:val="es-MX"/>
        </w:rPr>
      </w:pPr>
      <w:r w:rsidRPr="00630DB0">
        <w:rPr>
          <w:b/>
          <w:szCs w:val="18"/>
          <w:lang w:val="es-MX"/>
        </w:rPr>
        <w:t>Activo</w:t>
      </w:r>
    </w:p>
    <w:p w14:paraId="620EF8CD" w14:textId="77777777" w:rsidR="00AC7F8A" w:rsidRDefault="00AC7F8A" w:rsidP="00AC7F8A">
      <w:pPr>
        <w:pStyle w:val="Texto"/>
        <w:spacing w:after="0" w:line="240" w:lineRule="exact"/>
        <w:rPr>
          <w:b/>
          <w:szCs w:val="18"/>
          <w:lang w:val="es-MX"/>
        </w:rPr>
      </w:pPr>
    </w:p>
    <w:p w14:paraId="620EF8CE" w14:textId="77777777" w:rsidR="002644BD" w:rsidRPr="00630DB0" w:rsidRDefault="002644BD" w:rsidP="00AC7F8A">
      <w:pPr>
        <w:pStyle w:val="Texto"/>
        <w:spacing w:after="0" w:line="240" w:lineRule="exact"/>
        <w:rPr>
          <w:b/>
          <w:szCs w:val="18"/>
          <w:lang w:val="es-MX"/>
        </w:rPr>
      </w:pPr>
    </w:p>
    <w:p w14:paraId="620EF8CF" w14:textId="77777777" w:rsidR="00AC7F8A" w:rsidRPr="00630DB0" w:rsidRDefault="00AC7F8A" w:rsidP="00AC7F8A">
      <w:pPr>
        <w:pStyle w:val="Texto"/>
        <w:spacing w:after="0" w:line="240" w:lineRule="exact"/>
        <w:ind w:firstLine="706"/>
        <w:rPr>
          <w:b/>
          <w:szCs w:val="18"/>
          <w:lang w:val="es-MX"/>
        </w:rPr>
      </w:pPr>
      <w:r w:rsidRPr="00630DB0">
        <w:rPr>
          <w:b/>
          <w:szCs w:val="18"/>
          <w:lang w:val="es-MX"/>
        </w:rPr>
        <w:t>Efectivo y Equivalentes</w:t>
      </w:r>
    </w:p>
    <w:p w14:paraId="620EF8D0" w14:textId="3DAB953D" w:rsidR="00AC7F8A" w:rsidRPr="00BC5F50" w:rsidRDefault="00AC7F8A" w:rsidP="00BC5F50">
      <w:pPr>
        <w:ind w:left="709"/>
        <w:jc w:val="both"/>
        <w:rPr>
          <w:rFonts w:ascii="Arial" w:hAnsi="Arial" w:cs="Arial"/>
          <w:sz w:val="18"/>
          <w:szCs w:val="18"/>
        </w:rPr>
      </w:pPr>
      <w:r w:rsidRPr="00BC5F50">
        <w:rPr>
          <w:rFonts w:ascii="Arial" w:hAnsi="Arial" w:cs="Arial"/>
          <w:sz w:val="18"/>
          <w:szCs w:val="18"/>
        </w:rPr>
        <w:t xml:space="preserve">El saldo de </w:t>
      </w:r>
      <w:r w:rsidR="00AF7427" w:rsidRPr="00BC5F50">
        <w:rPr>
          <w:rFonts w:ascii="Arial" w:hAnsi="Arial" w:cs="Arial"/>
          <w:sz w:val="18"/>
          <w:szCs w:val="18"/>
        </w:rPr>
        <w:t>este</w:t>
      </w:r>
      <w:r w:rsidRPr="00BC5F50">
        <w:rPr>
          <w:rFonts w:ascii="Arial" w:hAnsi="Arial" w:cs="Arial"/>
          <w:sz w:val="18"/>
          <w:szCs w:val="18"/>
        </w:rPr>
        <w:t xml:space="preserve"> rubro representa el valor total de dinero a nombre de Salud de Tlaxcala depositado en instituciones bancarias, el cual asciende a $ </w:t>
      </w:r>
      <w:r w:rsidR="00DE553E" w:rsidRPr="00DE553E">
        <w:rPr>
          <w:rFonts w:ascii="Arial" w:hAnsi="Arial" w:cs="Arial"/>
          <w:sz w:val="18"/>
          <w:szCs w:val="18"/>
        </w:rPr>
        <w:t>600</w:t>
      </w:r>
      <w:r w:rsidR="00DE553E">
        <w:rPr>
          <w:rFonts w:ascii="Arial" w:hAnsi="Arial" w:cs="Arial"/>
          <w:sz w:val="18"/>
          <w:szCs w:val="18"/>
        </w:rPr>
        <w:t>,</w:t>
      </w:r>
      <w:r w:rsidR="00DE553E" w:rsidRPr="00DE553E">
        <w:rPr>
          <w:rFonts w:ascii="Arial" w:hAnsi="Arial" w:cs="Arial"/>
          <w:sz w:val="18"/>
          <w:szCs w:val="18"/>
        </w:rPr>
        <w:t>781</w:t>
      </w:r>
      <w:r w:rsidR="00DE553E">
        <w:rPr>
          <w:rFonts w:ascii="Arial" w:hAnsi="Arial" w:cs="Arial"/>
          <w:sz w:val="18"/>
          <w:szCs w:val="18"/>
        </w:rPr>
        <w:t>,</w:t>
      </w:r>
      <w:r w:rsidR="00DE553E" w:rsidRPr="00DE553E">
        <w:rPr>
          <w:rFonts w:ascii="Arial" w:hAnsi="Arial" w:cs="Arial"/>
          <w:sz w:val="18"/>
          <w:szCs w:val="18"/>
        </w:rPr>
        <w:t>458.34</w:t>
      </w:r>
      <w:r w:rsidRPr="00BC5F50">
        <w:rPr>
          <w:rFonts w:ascii="Arial" w:hAnsi="Arial" w:cs="Arial"/>
          <w:sz w:val="18"/>
          <w:szCs w:val="18"/>
        </w:rPr>
        <w:t xml:space="preserve">, y que está destinado para el </w:t>
      </w:r>
      <w:r w:rsidR="0072046B">
        <w:rPr>
          <w:rFonts w:ascii="Arial" w:hAnsi="Arial" w:cs="Arial"/>
          <w:sz w:val="18"/>
          <w:szCs w:val="18"/>
        </w:rPr>
        <w:t xml:space="preserve">gasto de operación y objetivo </w:t>
      </w:r>
      <w:r w:rsidRPr="00BC5F50">
        <w:rPr>
          <w:rFonts w:ascii="Arial" w:hAnsi="Arial" w:cs="Arial"/>
          <w:sz w:val="18"/>
          <w:szCs w:val="18"/>
        </w:rPr>
        <w:t xml:space="preserve">de </w:t>
      </w:r>
      <w:r w:rsidR="00AF7427" w:rsidRPr="00BC5F50">
        <w:rPr>
          <w:rFonts w:ascii="Arial" w:hAnsi="Arial" w:cs="Arial"/>
          <w:sz w:val="18"/>
          <w:szCs w:val="18"/>
        </w:rPr>
        <w:t>este</w:t>
      </w:r>
      <w:r w:rsidRPr="00BC5F50">
        <w:rPr>
          <w:rFonts w:ascii="Arial" w:hAnsi="Arial" w:cs="Arial"/>
          <w:sz w:val="18"/>
          <w:szCs w:val="18"/>
        </w:rPr>
        <w:t xml:space="preserve"> Organismo Público, tales como, sueldos y prestaciones, adquisición de bienes y servicios, el entero de impuestos y retenciones realizadas a los trabajadores</w:t>
      </w:r>
      <w:r w:rsidR="003A1877">
        <w:rPr>
          <w:rFonts w:ascii="Arial" w:hAnsi="Arial" w:cs="Arial"/>
          <w:sz w:val="18"/>
          <w:szCs w:val="18"/>
        </w:rPr>
        <w:t xml:space="preserve">, </w:t>
      </w:r>
      <w:proofErr w:type="spellStart"/>
      <w:r w:rsidR="003A1877">
        <w:rPr>
          <w:rFonts w:ascii="Arial" w:hAnsi="Arial" w:cs="Arial"/>
          <w:sz w:val="18"/>
          <w:szCs w:val="18"/>
        </w:rPr>
        <w:t>asi</w:t>
      </w:r>
      <w:proofErr w:type="spellEnd"/>
      <w:r w:rsidR="003A1877">
        <w:rPr>
          <w:rFonts w:ascii="Arial" w:hAnsi="Arial" w:cs="Arial"/>
          <w:sz w:val="18"/>
          <w:szCs w:val="18"/>
        </w:rPr>
        <w:t xml:space="preserve"> como los</w:t>
      </w:r>
      <w:r w:rsidRPr="00BC5F50">
        <w:rPr>
          <w:rFonts w:ascii="Arial" w:hAnsi="Arial" w:cs="Arial"/>
          <w:sz w:val="18"/>
          <w:szCs w:val="18"/>
        </w:rPr>
        <w:t xml:space="preserve"> compromisos adquiridos con terceros</w:t>
      </w:r>
      <w:r w:rsidR="00D1066D">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w:t>
      </w:r>
      <w:r w:rsidR="000F7C75" w:rsidRPr="00BC5F50">
        <w:rPr>
          <w:rFonts w:ascii="Arial" w:hAnsi="Arial" w:cs="Arial"/>
          <w:sz w:val="18"/>
          <w:szCs w:val="18"/>
        </w:rPr>
        <w:t>, las cuentas bancarias son productivas y no se tienen cuentas de inversión.</w:t>
      </w:r>
    </w:p>
    <w:p w14:paraId="620EF8D1" w14:textId="77777777" w:rsidR="00AC7F8A" w:rsidRDefault="00AC7F8A" w:rsidP="00AC7F8A">
      <w:pPr>
        <w:pStyle w:val="ROMANOS"/>
        <w:spacing w:after="0" w:line="240" w:lineRule="exact"/>
        <w:rPr>
          <w:lang w:val="es-MX"/>
        </w:rPr>
      </w:pPr>
    </w:p>
    <w:p w14:paraId="620EF8D2" w14:textId="77777777" w:rsidR="002644BD" w:rsidRPr="00630DB0" w:rsidRDefault="002644BD" w:rsidP="00AC7F8A">
      <w:pPr>
        <w:pStyle w:val="ROMANOS"/>
        <w:spacing w:after="0" w:line="240" w:lineRule="exact"/>
        <w:rPr>
          <w:lang w:val="es-MX"/>
        </w:rPr>
      </w:pPr>
    </w:p>
    <w:p w14:paraId="620EF8D3" w14:textId="77777777" w:rsidR="00AC7F8A" w:rsidRPr="00975301" w:rsidRDefault="00AC7F8A" w:rsidP="00AC7F8A">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620EF8D5" w14:textId="2BF81F9F" w:rsidR="00AC7F8A" w:rsidRDefault="00AC7F8A" w:rsidP="00BC5F50">
      <w:pPr>
        <w:autoSpaceDE w:val="0"/>
        <w:autoSpaceDN w:val="0"/>
        <w:adjustRightInd w:val="0"/>
        <w:spacing w:after="0" w:line="240" w:lineRule="auto"/>
        <w:ind w:firstLine="708"/>
      </w:pPr>
      <w:r w:rsidRPr="00975301">
        <w:rPr>
          <w:rFonts w:ascii="ArialMT" w:hAnsi="ArialMT" w:cs="ArialMT"/>
          <w:sz w:val="18"/>
          <w:szCs w:val="18"/>
          <w:lang w:val="es-ES"/>
        </w:rPr>
        <w:t xml:space="preserve">Su saldo representa un derecho de cobro en favor de </w:t>
      </w:r>
      <w:r w:rsidR="00AF7427" w:rsidRPr="00975301">
        <w:rPr>
          <w:rFonts w:ascii="ArialMT" w:hAnsi="ArialMT" w:cs="ArialMT"/>
          <w:sz w:val="18"/>
          <w:szCs w:val="18"/>
          <w:lang w:val="es-ES"/>
        </w:rPr>
        <w:t>este</w:t>
      </w:r>
      <w:r w:rsidRPr="00975301">
        <w:rPr>
          <w:rFonts w:ascii="ArialMT" w:hAnsi="ArialMT" w:cs="ArialMT"/>
          <w:sz w:val="18"/>
          <w:szCs w:val="18"/>
          <w:lang w:val="es-ES"/>
        </w:rPr>
        <w:t xml:space="preserve"> Organismo, </w:t>
      </w:r>
      <w:r w:rsidR="00BC5F50">
        <w:rPr>
          <w:rFonts w:ascii="ArialMT" w:hAnsi="ArialMT" w:cs="ArialMT"/>
          <w:sz w:val="18"/>
          <w:szCs w:val="18"/>
          <w:lang w:val="es-ES"/>
        </w:rPr>
        <w:t>y</w:t>
      </w:r>
      <w:r w:rsidRPr="00975301">
        <w:t xml:space="preserve"> se integra de la siguiente manera:</w:t>
      </w:r>
    </w:p>
    <w:p w14:paraId="528FA558" w14:textId="77777777" w:rsidR="000F7C75" w:rsidRDefault="000F7C75"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BC5F50" w:rsidRPr="00BC5F50" w14:paraId="1F1552A0" w14:textId="77777777" w:rsidTr="00AF7BC4">
        <w:trPr>
          <w:jc w:val="center"/>
        </w:trPr>
        <w:tc>
          <w:tcPr>
            <w:tcW w:w="5229" w:type="dxa"/>
          </w:tcPr>
          <w:p w14:paraId="2C6AFDDE" w14:textId="18EDE3AD" w:rsidR="00BC5F50" w:rsidRPr="00BC5F50" w:rsidRDefault="00BC5F50" w:rsidP="00AC7F8A">
            <w:pPr>
              <w:pStyle w:val="ROMANOS"/>
              <w:spacing w:after="0" w:line="240" w:lineRule="exact"/>
              <w:ind w:left="0" w:firstLine="0"/>
              <w:rPr>
                <w:lang w:val="es-MX"/>
              </w:rPr>
            </w:pPr>
            <w:r w:rsidRPr="00BC5F50">
              <w:rPr>
                <w:lang w:val="es-MX"/>
              </w:rPr>
              <w:t>Descripción</w:t>
            </w:r>
          </w:p>
        </w:tc>
        <w:tc>
          <w:tcPr>
            <w:tcW w:w="1984" w:type="dxa"/>
            <w:tcBorders>
              <w:bottom w:val="single" w:sz="4" w:space="0" w:color="auto"/>
            </w:tcBorders>
          </w:tcPr>
          <w:p w14:paraId="3B289628" w14:textId="53A697CB" w:rsidR="00BC5F50" w:rsidRPr="00BC5F50" w:rsidRDefault="005C0FD1" w:rsidP="00BD71CE">
            <w:pPr>
              <w:pStyle w:val="ROMANOS"/>
              <w:spacing w:after="0" w:line="240" w:lineRule="exact"/>
              <w:ind w:left="0" w:firstLine="0"/>
              <w:jc w:val="center"/>
              <w:rPr>
                <w:lang w:val="es-MX"/>
              </w:rPr>
            </w:pPr>
            <w:r>
              <w:rPr>
                <w:lang w:val="es-MX"/>
              </w:rPr>
              <w:t>Importe</w:t>
            </w:r>
          </w:p>
        </w:tc>
      </w:tr>
      <w:tr w:rsidR="00DE553E" w:rsidRPr="00BC5F50" w14:paraId="39C7CE1F" w14:textId="77777777" w:rsidTr="005C093D">
        <w:trPr>
          <w:jc w:val="center"/>
        </w:trPr>
        <w:tc>
          <w:tcPr>
            <w:tcW w:w="5229" w:type="dxa"/>
            <w:vAlign w:val="bottom"/>
          </w:tcPr>
          <w:p w14:paraId="100F92A7" w14:textId="5B10D698" w:rsidR="00DE553E" w:rsidRPr="00BC5F50" w:rsidRDefault="00DE553E" w:rsidP="00DE553E">
            <w:pPr>
              <w:pStyle w:val="ROMANOS"/>
              <w:spacing w:after="0" w:line="240" w:lineRule="exact"/>
              <w:ind w:left="0" w:firstLine="0"/>
              <w:rPr>
                <w:lang w:val="es-MX"/>
              </w:rPr>
            </w:pPr>
            <w:r w:rsidRPr="00BC5F50">
              <w:rPr>
                <w:color w:val="000000"/>
              </w:rPr>
              <w:t>Cuentas por cobrar a corto plazo</w:t>
            </w:r>
          </w:p>
        </w:tc>
        <w:tc>
          <w:tcPr>
            <w:tcW w:w="1984" w:type="dxa"/>
            <w:tcBorders>
              <w:top w:val="single" w:sz="4" w:space="0" w:color="auto"/>
              <w:left w:val="nil"/>
              <w:bottom w:val="single" w:sz="4" w:space="0" w:color="auto"/>
              <w:right w:val="single" w:sz="4" w:space="0" w:color="auto"/>
            </w:tcBorders>
            <w:shd w:val="clear" w:color="auto" w:fill="auto"/>
          </w:tcPr>
          <w:p w14:paraId="14631FCE" w14:textId="32872E00" w:rsidR="00DE553E" w:rsidRPr="003C3F18" w:rsidRDefault="00DE553E" w:rsidP="00DE553E">
            <w:pPr>
              <w:pStyle w:val="ROMANOS"/>
              <w:spacing w:after="0" w:line="240" w:lineRule="exact"/>
              <w:ind w:left="0" w:firstLine="0"/>
              <w:jc w:val="right"/>
              <w:rPr>
                <w:noProof/>
                <w:color w:val="000000"/>
              </w:rPr>
            </w:pPr>
            <w:r w:rsidRPr="00B51709">
              <w:t>51,960,991.09</w:t>
            </w:r>
          </w:p>
        </w:tc>
      </w:tr>
      <w:tr w:rsidR="00DE553E" w:rsidRPr="00BC5F50" w14:paraId="1FC4B1D6" w14:textId="77777777" w:rsidTr="005C093D">
        <w:trPr>
          <w:jc w:val="center"/>
        </w:trPr>
        <w:tc>
          <w:tcPr>
            <w:tcW w:w="5229" w:type="dxa"/>
            <w:vAlign w:val="bottom"/>
          </w:tcPr>
          <w:p w14:paraId="2FF43B3A" w14:textId="5BFC7303" w:rsidR="00DE553E" w:rsidRPr="00BC5F50" w:rsidRDefault="00DE553E" w:rsidP="00DE553E">
            <w:pPr>
              <w:pStyle w:val="ROMANOS"/>
              <w:spacing w:after="0" w:line="240" w:lineRule="exact"/>
              <w:ind w:left="0" w:firstLine="0"/>
              <w:rPr>
                <w:lang w:val="es-MX"/>
              </w:rPr>
            </w:pPr>
            <w:r w:rsidRPr="00BC5F50">
              <w:rPr>
                <w:color w:val="000000"/>
              </w:rPr>
              <w:t>Deudores diversos por cobrar a corto plazo</w:t>
            </w:r>
          </w:p>
        </w:tc>
        <w:tc>
          <w:tcPr>
            <w:tcW w:w="1984" w:type="dxa"/>
            <w:tcBorders>
              <w:top w:val="single" w:sz="4" w:space="0" w:color="auto"/>
              <w:left w:val="nil"/>
              <w:bottom w:val="single" w:sz="4" w:space="0" w:color="auto"/>
              <w:right w:val="single" w:sz="4" w:space="0" w:color="auto"/>
            </w:tcBorders>
            <w:shd w:val="clear" w:color="auto" w:fill="auto"/>
          </w:tcPr>
          <w:p w14:paraId="4790F99C" w14:textId="1FC2B853" w:rsidR="00DE553E" w:rsidRPr="003C3F18" w:rsidRDefault="00DE553E" w:rsidP="00DE553E">
            <w:pPr>
              <w:pStyle w:val="ROMANOS"/>
              <w:spacing w:after="0" w:line="240" w:lineRule="exact"/>
              <w:ind w:left="0" w:firstLine="0"/>
              <w:jc w:val="right"/>
              <w:rPr>
                <w:noProof/>
                <w:color w:val="000000"/>
              </w:rPr>
            </w:pPr>
            <w:r w:rsidRPr="00B51709">
              <w:t>3,279,498.83</w:t>
            </w:r>
          </w:p>
        </w:tc>
      </w:tr>
      <w:tr w:rsidR="00DE553E" w:rsidRPr="00BC5F50" w14:paraId="2AD8D5DA" w14:textId="77777777" w:rsidTr="005C093D">
        <w:trPr>
          <w:jc w:val="center"/>
        </w:trPr>
        <w:tc>
          <w:tcPr>
            <w:tcW w:w="5229" w:type="dxa"/>
            <w:vAlign w:val="bottom"/>
          </w:tcPr>
          <w:p w14:paraId="423F8BD1" w14:textId="7071096F" w:rsidR="00DE553E" w:rsidRPr="00BC5F50" w:rsidRDefault="00DE553E" w:rsidP="00DE553E">
            <w:pPr>
              <w:pStyle w:val="ROMANOS"/>
              <w:spacing w:after="0" w:line="240" w:lineRule="exact"/>
              <w:ind w:left="0" w:firstLine="0"/>
              <w:rPr>
                <w:lang w:val="es-MX"/>
              </w:rPr>
            </w:pPr>
            <w:r w:rsidRPr="00BC5F50">
              <w:rPr>
                <w:color w:val="000000"/>
              </w:rPr>
              <w:t>Ingresos por recuperar a corto plazo</w:t>
            </w:r>
          </w:p>
        </w:tc>
        <w:tc>
          <w:tcPr>
            <w:tcW w:w="1984" w:type="dxa"/>
            <w:tcBorders>
              <w:top w:val="single" w:sz="4" w:space="0" w:color="auto"/>
              <w:left w:val="nil"/>
              <w:bottom w:val="single" w:sz="4" w:space="0" w:color="auto"/>
              <w:right w:val="single" w:sz="4" w:space="0" w:color="auto"/>
            </w:tcBorders>
            <w:shd w:val="clear" w:color="auto" w:fill="auto"/>
          </w:tcPr>
          <w:p w14:paraId="1AE3A90B" w14:textId="55FFF8E2" w:rsidR="00DE553E" w:rsidRPr="003C3F18" w:rsidRDefault="00DE553E" w:rsidP="00DE553E">
            <w:pPr>
              <w:pStyle w:val="ROMANOS"/>
              <w:spacing w:after="0" w:line="240" w:lineRule="exact"/>
              <w:ind w:left="0" w:firstLine="0"/>
              <w:jc w:val="right"/>
              <w:rPr>
                <w:noProof/>
                <w:color w:val="000000"/>
              </w:rPr>
            </w:pPr>
            <w:r w:rsidRPr="00B51709">
              <w:t>0</w:t>
            </w:r>
            <w:r>
              <w:t>.00</w:t>
            </w:r>
          </w:p>
        </w:tc>
      </w:tr>
      <w:tr w:rsidR="00DE553E" w:rsidRPr="00BC5F50" w14:paraId="5C8689F6" w14:textId="77777777" w:rsidTr="005C093D">
        <w:trPr>
          <w:jc w:val="center"/>
        </w:trPr>
        <w:tc>
          <w:tcPr>
            <w:tcW w:w="5229" w:type="dxa"/>
            <w:vAlign w:val="bottom"/>
          </w:tcPr>
          <w:p w14:paraId="5B807B5B" w14:textId="1598E1F1" w:rsidR="00DE553E" w:rsidRPr="00BC5F50" w:rsidRDefault="00DE553E" w:rsidP="00DE553E">
            <w:pPr>
              <w:pStyle w:val="ROMANOS"/>
              <w:spacing w:after="0" w:line="240" w:lineRule="exact"/>
              <w:ind w:left="0" w:firstLine="0"/>
              <w:rPr>
                <w:lang w:val="es-MX"/>
              </w:rPr>
            </w:pPr>
            <w:r w:rsidRPr="00BC5F50">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shd w:val="clear" w:color="auto" w:fill="auto"/>
          </w:tcPr>
          <w:p w14:paraId="6B093D6E" w14:textId="6CDB57F9" w:rsidR="00DE553E" w:rsidRPr="003C3F18" w:rsidRDefault="00DE553E" w:rsidP="00DE553E">
            <w:pPr>
              <w:pStyle w:val="ROMANOS"/>
              <w:spacing w:after="0" w:line="240" w:lineRule="exact"/>
              <w:ind w:left="0" w:firstLine="0"/>
              <w:jc w:val="right"/>
              <w:rPr>
                <w:noProof/>
                <w:color w:val="000000"/>
              </w:rPr>
            </w:pPr>
            <w:r w:rsidRPr="00B51709">
              <w:t>600,348.64</w:t>
            </w:r>
          </w:p>
        </w:tc>
      </w:tr>
      <w:tr w:rsidR="00DE553E" w:rsidRPr="00BC5F50" w14:paraId="1447845A" w14:textId="77777777" w:rsidTr="005C093D">
        <w:trPr>
          <w:jc w:val="center"/>
        </w:trPr>
        <w:tc>
          <w:tcPr>
            <w:tcW w:w="5229" w:type="dxa"/>
            <w:vAlign w:val="bottom"/>
          </w:tcPr>
          <w:p w14:paraId="413B3C26" w14:textId="22E6E928" w:rsidR="00DE553E" w:rsidRPr="00BC5F50" w:rsidRDefault="00DE553E" w:rsidP="00DE553E">
            <w:pPr>
              <w:pStyle w:val="ROMANOS"/>
              <w:spacing w:after="0" w:line="240" w:lineRule="exact"/>
              <w:ind w:left="0" w:firstLine="0"/>
              <w:rPr>
                <w:lang w:val="es-MX"/>
              </w:rPr>
            </w:pPr>
            <w:r w:rsidRPr="00BC5F50">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shd w:val="clear" w:color="auto" w:fill="auto"/>
          </w:tcPr>
          <w:p w14:paraId="186FCE3C" w14:textId="4383525E" w:rsidR="00DE553E" w:rsidRPr="003C3F18" w:rsidRDefault="00DE553E" w:rsidP="00DE553E">
            <w:pPr>
              <w:pStyle w:val="ROMANOS"/>
              <w:spacing w:after="0" w:line="240" w:lineRule="exact"/>
              <w:ind w:left="0" w:firstLine="0"/>
              <w:jc w:val="right"/>
              <w:rPr>
                <w:noProof/>
                <w:color w:val="000000"/>
              </w:rPr>
            </w:pPr>
            <w:r w:rsidRPr="00B51709">
              <w:t>750,049.40</w:t>
            </w:r>
          </w:p>
        </w:tc>
      </w:tr>
      <w:tr w:rsidR="001A5B66" w:rsidRPr="00323DA4" w14:paraId="01DEEB90" w14:textId="77777777" w:rsidTr="00AF7BC4">
        <w:trPr>
          <w:jc w:val="center"/>
        </w:trPr>
        <w:tc>
          <w:tcPr>
            <w:tcW w:w="5229" w:type="dxa"/>
            <w:vAlign w:val="bottom"/>
          </w:tcPr>
          <w:p w14:paraId="3A66DAD3" w14:textId="6FBC6D63" w:rsidR="001A5B66" w:rsidRPr="00323DA4" w:rsidRDefault="001A5B66" w:rsidP="00AF7BC4">
            <w:pPr>
              <w:pStyle w:val="ROMANOS"/>
              <w:spacing w:after="0" w:line="240" w:lineRule="exact"/>
              <w:ind w:left="0" w:firstLine="0"/>
              <w:rPr>
                <w:b/>
                <w:color w:val="000000"/>
              </w:rPr>
            </w:pPr>
            <w:r w:rsidRPr="00323DA4">
              <w:rPr>
                <w:b/>
                <w:color w:val="000000"/>
              </w:rPr>
              <w:t>Suma</w:t>
            </w:r>
          </w:p>
        </w:tc>
        <w:tc>
          <w:tcPr>
            <w:tcW w:w="1984" w:type="dxa"/>
            <w:tcBorders>
              <w:top w:val="single" w:sz="4" w:space="0" w:color="auto"/>
              <w:left w:val="nil"/>
              <w:bottom w:val="single" w:sz="4" w:space="0" w:color="auto"/>
              <w:right w:val="single" w:sz="4" w:space="0" w:color="auto"/>
            </w:tcBorders>
            <w:shd w:val="clear" w:color="auto" w:fill="auto"/>
            <w:vAlign w:val="bottom"/>
          </w:tcPr>
          <w:p w14:paraId="16E59DAE" w14:textId="4C660DBD" w:rsidR="001A5B66" w:rsidRPr="00323DA4" w:rsidRDefault="00DE553E" w:rsidP="001A5B66">
            <w:pPr>
              <w:pStyle w:val="ROMANOS"/>
              <w:spacing w:after="0" w:line="240" w:lineRule="exact"/>
              <w:ind w:left="0" w:firstLine="0"/>
              <w:jc w:val="right"/>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56,590,887.96</w:t>
            </w:r>
            <w:r>
              <w:rPr>
                <w:b/>
                <w:color w:val="000000"/>
              </w:rPr>
              <w:fldChar w:fldCharType="end"/>
            </w:r>
          </w:p>
        </w:tc>
      </w:tr>
    </w:tbl>
    <w:p w14:paraId="620EF8D7" w14:textId="77777777" w:rsidR="00AC7F8A" w:rsidRDefault="00AC7F8A" w:rsidP="00AC7F8A">
      <w:pPr>
        <w:pStyle w:val="ROMANOS"/>
        <w:spacing w:after="0" w:line="240" w:lineRule="exact"/>
        <w:rPr>
          <w:lang w:val="es-MX"/>
        </w:rPr>
      </w:pPr>
    </w:p>
    <w:p w14:paraId="620EF8D8" w14:textId="77777777" w:rsidR="002644BD" w:rsidRPr="00630DB0" w:rsidRDefault="002644BD" w:rsidP="00AC7F8A">
      <w:pPr>
        <w:pStyle w:val="ROMANOS"/>
        <w:spacing w:after="0" w:line="240" w:lineRule="exact"/>
        <w:rPr>
          <w:lang w:val="es-MX"/>
        </w:rPr>
      </w:pPr>
    </w:p>
    <w:p w14:paraId="620EF8D9" w14:textId="0F6AC725" w:rsidR="00AC7F8A" w:rsidRPr="00630DB0" w:rsidRDefault="00AC7F8A" w:rsidP="00AC7F8A">
      <w:pPr>
        <w:pStyle w:val="ROMANOS"/>
        <w:spacing w:after="0" w:line="240" w:lineRule="exact"/>
        <w:rPr>
          <w:b/>
          <w:lang w:val="es-MX"/>
        </w:rPr>
      </w:pPr>
      <w:r w:rsidRPr="00630DB0">
        <w:rPr>
          <w:b/>
          <w:lang w:val="es-MX"/>
        </w:rPr>
        <w:tab/>
        <w:t>Bienes Disponibles para su Transformación o Consumo (inventarios)</w:t>
      </w:r>
      <w:r w:rsidR="0072046B">
        <w:rPr>
          <w:b/>
          <w:lang w:val="es-MX"/>
        </w:rPr>
        <w:t>.</w:t>
      </w:r>
    </w:p>
    <w:p w14:paraId="620EF8DB" w14:textId="077FE424" w:rsidR="00AC7F8A" w:rsidRDefault="00AC7F8A" w:rsidP="00AC7F8A">
      <w:pPr>
        <w:pStyle w:val="ROMANOS"/>
        <w:spacing w:after="0" w:line="240" w:lineRule="exact"/>
        <w:rPr>
          <w:lang w:val="es-MX"/>
        </w:rPr>
      </w:pPr>
      <w:r>
        <w:rPr>
          <w:lang w:val="es-MX"/>
        </w:rPr>
        <w:tab/>
      </w:r>
      <w:r w:rsidR="005C0FD1">
        <w:rPr>
          <w:lang w:val="es-MX"/>
        </w:rPr>
        <w:t xml:space="preserve">La </w:t>
      </w:r>
      <w:r w:rsidR="005C0FD1" w:rsidRPr="002B3AF4">
        <w:t>Secretar</w:t>
      </w:r>
      <w:r w:rsidR="005C0FD1">
        <w:t>ía</w:t>
      </w:r>
      <w:r w:rsidR="005C0FD1" w:rsidRPr="002B3AF4">
        <w:t xml:space="preserve"> de Salud y O.P.D. Salud de Tlaxcala</w:t>
      </w:r>
      <w:r w:rsidR="005C0FD1" w:rsidRPr="002B3AF4">
        <w:rPr>
          <w:lang w:val="es-MX"/>
        </w:rPr>
        <w:t xml:space="preserve"> </w:t>
      </w:r>
      <w:r w:rsidR="005C0FD1">
        <w:rPr>
          <w:lang w:val="es-MX"/>
        </w:rPr>
        <w:t xml:space="preserve">realiza el registro de adquisición de bienes y suministros sin afectar la cuenta de almacén, sin embargo, </w:t>
      </w:r>
      <w:r w:rsidRPr="00BB0B8C">
        <w:rPr>
          <w:lang w:val="es-MX"/>
        </w:rPr>
        <w:t xml:space="preserve">reconoce </w:t>
      </w:r>
      <w:r w:rsidR="005C0FD1">
        <w:rPr>
          <w:lang w:val="es-MX"/>
        </w:rPr>
        <w:t xml:space="preserve">el valor de las existencias de bienes disponibles para su consumo </w:t>
      </w:r>
      <w:r w:rsidRPr="00BB0B8C">
        <w:rPr>
          <w:lang w:val="es-MX"/>
        </w:rPr>
        <w:t xml:space="preserve">a través de cuentas de orden </w:t>
      </w:r>
      <w:r w:rsidR="005C0FD1">
        <w:rPr>
          <w:lang w:val="es-MX"/>
        </w:rPr>
        <w:t>contables</w:t>
      </w:r>
      <w:r w:rsidRPr="00BB0B8C">
        <w:rPr>
          <w:lang w:val="es-MX"/>
        </w:rPr>
        <w:t>.</w:t>
      </w:r>
    </w:p>
    <w:p w14:paraId="620EF8DC" w14:textId="77777777" w:rsidR="00AC7F8A" w:rsidRDefault="00AC7F8A" w:rsidP="00AC7F8A">
      <w:pPr>
        <w:pStyle w:val="ROMANOS"/>
        <w:spacing w:after="0" w:line="240" w:lineRule="exact"/>
        <w:rPr>
          <w:lang w:val="es-MX"/>
        </w:rPr>
      </w:pPr>
    </w:p>
    <w:p w14:paraId="620EF8DD" w14:textId="77777777" w:rsidR="002644BD" w:rsidRPr="00630DB0" w:rsidRDefault="002644BD" w:rsidP="00AC7F8A">
      <w:pPr>
        <w:pStyle w:val="ROMANOS"/>
        <w:spacing w:after="0" w:line="240" w:lineRule="exact"/>
        <w:rPr>
          <w:lang w:val="es-MX"/>
        </w:rPr>
      </w:pPr>
    </w:p>
    <w:p w14:paraId="620EF8DE" w14:textId="77777777" w:rsidR="00AC7F8A" w:rsidRPr="00630DB0" w:rsidRDefault="00AC7F8A" w:rsidP="00AC7F8A">
      <w:pPr>
        <w:pStyle w:val="ROMANOS"/>
        <w:spacing w:after="0" w:line="240" w:lineRule="exact"/>
        <w:rPr>
          <w:b/>
          <w:lang w:val="es-MX"/>
        </w:rPr>
      </w:pPr>
      <w:r w:rsidRPr="00630DB0">
        <w:rPr>
          <w:b/>
          <w:lang w:val="es-MX"/>
        </w:rPr>
        <w:tab/>
        <w:t>Inversiones Financieras</w:t>
      </w:r>
    </w:p>
    <w:p w14:paraId="620EF8DF" w14:textId="73B08B90"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7C632BE8" w14:textId="06D74D1D" w:rsidR="00BA75F8" w:rsidRDefault="00BA75F8" w:rsidP="00AC7F8A">
      <w:pPr>
        <w:pStyle w:val="ROMANOS"/>
        <w:spacing w:after="0" w:line="240" w:lineRule="exact"/>
        <w:rPr>
          <w:lang w:val="es-MX"/>
        </w:rPr>
      </w:pPr>
    </w:p>
    <w:p w14:paraId="0CB5FC3F" w14:textId="77777777" w:rsidR="00BA75F8" w:rsidRDefault="00BA75F8" w:rsidP="00AC7F8A">
      <w:pPr>
        <w:pStyle w:val="ROMANOS"/>
        <w:spacing w:after="0" w:line="240" w:lineRule="exact"/>
        <w:rPr>
          <w:lang w:val="es-MX"/>
        </w:rPr>
      </w:pPr>
    </w:p>
    <w:p w14:paraId="620EF8E3" w14:textId="77777777" w:rsidR="002644BD" w:rsidRPr="00630DB0" w:rsidRDefault="002644BD" w:rsidP="00AC7F8A">
      <w:pPr>
        <w:pStyle w:val="ROMANOS"/>
        <w:spacing w:after="0" w:line="240" w:lineRule="exact"/>
        <w:rPr>
          <w:lang w:val="es-MX"/>
        </w:rPr>
      </w:pPr>
    </w:p>
    <w:p w14:paraId="620EF8E4" w14:textId="77777777" w:rsidR="00AC7F8A" w:rsidRPr="00F75314" w:rsidRDefault="00AC7F8A" w:rsidP="00AC7F8A">
      <w:pPr>
        <w:pStyle w:val="ROMANOS"/>
        <w:spacing w:after="0" w:line="240" w:lineRule="exact"/>
        <w:rPr>
          <w:b/>
          <w:lang w:val="es-MX"/>
        </w:rPr>
      </w:pPr>
      <w:r w:rsidRPr="00630DB0">
        <w:rPr>
          <w:b/>
          <w:lang w:val="es-MX"/>
        </w:rPr>
        <w:tab/>
      </w:r>
      <w:r w:rsidRPr="00F75314">
        <w:rPr>
          <w:b/>
          <w:lang w:val="es-MX"/>
        </w:rPr>
        <w:t>Bienes Muebles, Inmuebles e Intangibles</w:t>
      </w:r>
    </w:p>
    <w:p w14:paraId="620EF8E5" w14:textId="12A853FA" w:rsidR="00AC7F8A" w:rsidRDefault="004431B3" w:rsidP="00AC7F8A">
      <w:pPr>
        <w:pStyle w:val="ROMANOS"/>
        <w:spacing w:after="0" w:line="240" w:lineRule="exact"/>
        <w:rPr>
          <w:lang w:val="es-MX"/>
        </w:rPr>
      </w:pPr>
      <w:r>
        <w:rPr>
          <w:lang w:val="es-MX"/>
        </w:rPr>
        <w:tab/>
      </w:r>
      <w:r w:rsidR="00AC7F8A" w:rsidRPr="00E11756">
        <w:rPr>
          <w:lang w:val="es-MX"/>
        </w:rPr>
        <w:t>E</w:t>
      </w:r>
      <w:r w:rsidR="00BA75F8">
        <w:rPr>
          <w:lang w:val="es-MX"/>
        </w:rPr>
        <w:t>n e</w:t>
      </w:r>
      <w:r w:rsidR="00AC7F8A" w:rsidRPr="00E11756">
        <w:rPr>
          <w:lang w:val="es-MX"/>
        </w:rPr>
        <w:t xml:space="preserve">l rubro de Bienes Inmuebles se </w:t>
      </w:r>
      <w:r w:rsidR="00BA75F8">
        <w:rPr>
          <w:lang w:val="es-MX"/>
        </w:rPr>
        <w:t>realizó un</w:t>
      </w:r>
      <w:r w:rsidR="00AC7F8A" w:rsidRPr="00E11756">
        <w:rPr>
          <w:lang w:val="es-MX"/>
        </w:rPr>
        <w:t xml:space="preserve"> avaluó al 30 de junio de 2016, y </w:t>
      </w:r>
      <w:r w:rsidR="00BA75F8">
        <w:rPr>
          <w:lang w:val="es-MX"/>
        </w:rPr>
        <w:t>posterior a esa fecha se registran a su</w:t>
      </w:r>
      <w:r w:rsidR="00AC7F8A" w:rsidRPr="00E11756">
        <w:rPr>
          <w:lang w:val="es-MX"/>
        </w:rPr>
        <w:t xml:space="preserve"> valor de realización; reconociendo la normatividad emitida por el Consejo Nacional de Armonización Contable</w:t>
      </w:r>
      <w:r w:rsidR="002B14A4">
        <w:rPr>
          <w:lang w:val="es-MX"/>
        </w:rPr>
        <w:t xml:space="preserve">, </w:t>
      </w:r>
      <w:r w:rsidR="002B14A4">
        <w:t xml:space="preserve">a la fecha no se han efectuado </w:t>
      </w:r>
      <w:r w:rsidR="0046745F">
        <w:t>depreciaciones</w:t>
      </w:r>
      <w:r w:rsidR="002B14A4">
        <w:t xml:space="preserve"> a los</w:t>
      </w:r>
      <w:r w:rsidR="0046745F">
        <w:t xml:space="preserve"> bienes inmuebles</w:t>
      </w:r>
      <w:r w:rsidR="00AC7F8A" w:rsidRPr="00E11756">
        <w:rPr>
          <w:lang w:val="es-MX"/>
        </w:rPr>
        <w:t>.</w:t>
      </w:r>
    </w:p>
    <w:p w14:paraId="6D161489" w14:textId="77777777" w:rsidR="00BA75F8" w:rsidRDefault="00BA75F8" w:rsidP="00AC7F8A">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BA75F8" w:rsidRPr="008F4EEA" w14:paraId="13FD5A9E" w14:textId="77777777" w:rsidTr="00E54B7E">
        <w:trPr>
          <w:jc w:val="center"/>
        </w:trPr>
        <w:tc>
          <w:tcPr>
            <w:tcW w:w="4629" w:type="dxa"/>
            <w:noWrap/>
          </w:tcPr>
          <w:p w14:paraId="0E5D846D" w14:textId="6D44C79C" w:rsidR="00BA75F8" w:rsidRPr="008F4EEA" w:rsidRDefault="00446ACE" w:rsidP="00E54B7E">
            <w:pPr>
              <w:pStyle w:val="ROMANOS"/>
              <w:spacing w:after="0" w:line="240" w:lineRule="auto"/>
            </w:pPr>
            <w:r w:rsidRPr="008F4EEA">
              <w:t>Concepto</w:t>
            </w:r>
          </w:p>
        </w:tc>
        <w:tc>
          <w:tcPr>
            <w:tcW w:w="1984" w:type="dxa"/>
            <w:noWrap/>
          </w:tcPr>
          <w:p w14:paraId="34AE0B89" w14:textId="68B020C6" w:rsidR="00BA75F8" w:rsidRPr="008F4EEA" w:rsidRDefault="00446ACE" w:rsidP="00E54B7E">
            <w:pPr>
              <w:pStyle w:val="ROMANOS"/>
              <w:spacing w:after="0" w:line="240" w:lineRule="auto"/>
              <w:jc w:val="center"/>
            </w:pPr>
            <w:r w:rsidRPr="008F4EEA">
              <w:t>Importe</w:t>
            </w:r>
          </w:p>
        </w:tc>
      </w:tr>
      <w:tr w:rsidR="00DE553E" w:rsidRPr="00DE553E" w14:paraId="1654EE81" w14:textId="77777777" w:rsidTr="005C093D">
        <w:trPr>
          <w:jc w:val="center"/>
        </w:trPr>
        <w:tc>
          <w:tcPr>
            <w:tcW w:w="4629" w:type="dxa"/>
            <w:noWrap/>
          </w:tcPr>
          <w:p w14:paraId="798A1CB0" w14:textId="77777777" w:rsidR="00DE553E" w:rsidRPr="00DE553E" w:rsidRDefault="00DE553E" w:rsidP="00DE553E">
            <w:pPr>
              <w:pStyle w:val="ROMANOS"/>
              <w:spacing w:after="0" w:line="240" w:lineRule="auto"/>
            </w:pPr>
            <w:r w:rsidRPr="00DE553E">
              <w:t>Edificios no habitacionales</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27B7C1B" w14:textId="14D58204" w:rsidR="00DE553E" w:rsidRPr="00DE553E" w:rsidRDefault="00DE553E" w:rsidP="00DE553E">
            <w:pPr>
              <w:jc w:val="right"/>
              <w:rPr>
                <w:rFonts w:ascii="Arial" w:hAnsi="Arial" w:cs="Arial"/>
                <w:color w:val="000000"/>
                <w:sz w:val="18"/>
                <w:szCs w:val="18"/>
              </w:rPr>
            </w:pPr>
            <w:r w:rsidRPr="00DE553E">
              <w:rPr>
                <w:rFonts w:ascii="Arial" w:hAnsi="Arial" w:cs="Arial"/>
                <w:sz w:val="18"/>
                <w:szCs w:val="18"/>
              </w:rPr>
              <w:t>2,451,571,856.49</w:t>
            </w:r>
          </w:p>
        </w:tc>
      </w:tr>
      <w:tr w:rsidR="00DE553E" w:rsidRPr="00DE553E" w14:paraId="6F82999C" w14:textId="77777777" w:rsidTr="005C093D">
        <w:trPr>
          <w:jc w:val="center"/>
        </w:trPr>
        <w:tc>
          <w:tcPr>
            <w:tcW w:w="4629" w:type="dxa"/>
            <w:noWrap/>
          </w:tcPr>
          <w:p w14:paraId="0BEC7B54" w14:textId="1650118D" w:rsidR="00DE553E" w:rsidRPr="00DE553E" w:rsidRDefault="00DE553E" w:rsidP="00DE553E">
            <w:pPr>
              <w:pStyle w:val="ROMANOS"/>
              <w:spacing w:after="0" w:line="240" w:lineRule="auto"/>
              <w:rPr>
                <w:lang w:val="es-MX"/>
              </w:rPr>
            </w:pPr>
            <w:r w:rsidRPr="00DE553E">
              <w:rPr>
                <w:lang w:val="es-MX"/>
              </w:rPr>
              <w:t>Construcciones en proceso en bienes propios</w:t>
            </w:r>
          </w:p>
        </w:tc>
        <w:tc>
          <w:tcPr>
            <w:tcW w:w="1984" w:type="dxa"/>
            <w:tcBorders>
              <w:top w:val="nil"/>
              <w:left w:val="single" w:sz="4" w:space="0" w:color="auto"/>
              <w:bottom w:val="single" w:sz="4" w:space="0" w:color="auto"/>
              <w:right w:val="single" w:sz="4" w:space="0" w:color="auto"/>
            </w:tcBorders>
            <w:shd w:val="clear" w:color="auto" w:fill="auto"/>
            <w:noWrap/>
          </w:tcPr>
          <w:p w14:paraId="0A440BBA" w14:textId="6296CDE2" w:rsidR="00DE553E" w:rsidRPr="00DE553E" w:rsidRDefault="00DE553E" w:rsidP="00DE553E">
            <w:pPr>
              <w:jc w:val="right"/>
              <w:rPr>
                <w:rFonts w:ascii="Arial" w:hAnsi="Arial" w:cs="Arial"/>
                <w:color w:val="000000"/>
                <w:sz w:val="18"/>
                <w:szCs w:val="18"/>
              </w:rPr>
            </w:pPr>
            <w:r w:rsidRPr="00DE553E">
              <w:rPr>
                <w:rFonts w:ascii="Arial" w:hAnsi="Arial" w:cs="Arial"/>
                <w:sz w:val="18"/>
                <w:szCs w:val="18"/>
              </w:rPr>
              <w:t>177,525,527.05</w:t>
            </w:r>
          </w:p>
        </w:tc>
      </w:tr>
      <w:tr w:rsidR="00611646" w:rsidRPr="008F4EEA" w14:paraId="06659278" w14:textId="77777777" w:rsidTr="00E54B7E">
        <w:trPr>
          <w:jc w:val="center"/>
        </w:trPr>
        <w:tc>
          <w:tcPr>
            <w:tcW w:w="4629" w:type="dxa"/>
            <w:noWrap/>
          </w:tcPr>
          <w:p w14:paraId="7309016D" w14:textId="55083B0D" w:rsidR="00611646" w:rsidRPr="008F4EEA" w:rsidRDefault="00611646" w:rsidP="00611646">
            <w:pPr>
              <w:pStyle w:val="ROMANOS"/>
              <w:spacing w:after="0" w:line="240" w:lineRule="auto"/>
              <w:rPr>
                <w:b/>
              </w:rPr>
            </w:pPr>
            <w:r w:rsidRPr="008F4EEA">
              <w:rPr>
                <w:b/>
              </w:rPr>
              <w:t>Suma</w:t>
            </w:r>
          </w:p>
        </w:tc>
        <w:tc>
          <w:tcPr>
            <w:tcW w:w="1984" w:type="dxa"/>
            <w:noWrap/>
          </w:tcPr>
          <w:p w14:paraId="3B88B3C6" w14:textId="7398F7E6" w:rsidR="00611646" w:rsidRPr="008F4EEA" w:rsidRDefault="00DE553E" w:rsidP="00611646">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2,629,097,383.54</w:t>
            </w:r>
            <w:r>
              <w:rPr>
                <w:rFonts w:ascii="Arial" w:hAnsi="Arial" w:cs="Arial"/>
                <w:b/>
                <w:color w:val="000000"/>
                <w:sz w:val="18"/>
                <w:szCs w:val="18"/>
              </w:rPr>
              <w:fldChar w:fldCharType="end"/>
            </w:r>
          </w:p>
        </w:tc>
      </w:tr>
    </w:tbl>
    <w:p w14:paraId="36E51B85" w14:textId="77777777" w:rsidR="00BA75F8" w:rsidRDefault="00BA75F8" w:rsidP="00AC7F8A">
      <w:pPr>
        <w:pStyle w:val="ROMANOS"/>
        <w:spacing w:after="0" w:line="240" w:lineRule="exact"/>
        <w:rPr>
          <w:lang w:val="es-MX"/>
        </w:rPr>
      </w:pPr>
    </w:p>
    <w:p w14:paraId="620EF8E6" w14:textId="77777777" w:rsidR="00AC7F8A" w:rsidRDefault="00AC7F8A" w:rsidP="00AC7F8A">
      <w:pPr>
        <w:pStyle w:val="ROMANOS"/>
        <w:spacing w:after="0" w:line="240" w:lineRule="exact"/>
        <w:rPr>
          <w:lang w:val="es-MX"/>
        </w:rPr>
      </w:pPr>
    </w:p>
    <w:p w14:paraId="620EF8E7" w14:textId="5FC59433" w:rsidR="00AC7F8A" w:rsidRDefault="00AC7F8A" w:rsidP="00AC7F8A">
      <w:pPr>
        <w:pStyle w:val="ROMANOS"/>
        <w:spacing w:after="0" w:line="240" w:lineRule="exact"/>
        <w:rPr>
          <w:lang w:val="es-MX"/>
        </w:rPr>
      </w:pPr>
      <w:r>
        <w:rPr>
          <w:lang w:val="es-MX"/>
        </w:rPr>
        <w:tab/>
      </w:r>
      <w:r w:rsidRPr="00E11756">
        <w:rPr>
          <w:lang w:val="es-MX"/>
        </w:rPr>
        <w:t>E</w:t>
      </w:r>
      <w:r w:rsidR="00BA75F8">
        <w:rPr>
          <w:lang w:val="es-MX"/>
        </w:rPr>
        <w:t>n e</w:t>
      </w:r>
      <w:r w:rsidRPr="00E11756">
        <w:rPr>
          <w:lang w:val="es-MX"/>
        </w:rPr>
        <w:t xml:space="preserve">l rubro Bienes Muebles se </w:t>
      </w:r>
      <w:r w:rsidR="00BA75F8">
        <w:rPr>
          <w:lang w:val="es-MX"/>
        </w:rPr>
        <w:t>realizó un</w:t>
      </w:r>
      <w:r w:rsidRPr="00E11756">
        <w:rPr>
          <w:lang w:val="es-MX"/>
        </w:rPr>
        <w:t xml:space="preserve"> avaluó a diciembre de 2015,</w:t>
      </w:r>
      <w:r w:rsidR="00BA75F8">
        <w:rPr>
          <w:lang w:val="es-MX"/>
        </w:rPr>
        <w:t xml:space="preserve"> y</w:t>
      </w:r>
      <w:r w:rsidRPr="00E11756">
        <w:rPr>
          <w:lang w:val="es-MX"/>
        </w:rPr>
        <w:t xml:space="preserve"> a partir del ejercicio 2016 el incremento del valor en libros </w:t>
      </w:r>
      <w:r w:rsidR="006F79A6">
        <w:rPr>
          <w:lang w:val="es-MX"/>
        </w:rPr>
        <w:t xml:space="preserve">es a precio de </w:t>
      </w:r>
      <w:r w:rsidRPr="00BB0B8C">
        <w:rPr>
          <w:lang w:val="es-MX"/>
        </w:rPr>
        <w:t>adquisición de los bienes</w:t>
      </w:r>
      <w:r w:rsidR="006F79A6">
        <w:rPr>
          <w:lang w:val="es-MX"/>
        </w:rPr>
        <w:t>,</w:t>
      </w:r>
      <w:r w:rsidRPr="00BB0B8C">
        <w:rPr>
          <w:lang w:val="es-MX"/>
        </w:rPr>
        <w:t xml:space="preserve"> reconociendo la normatividad emitida por el Consejo Nacional de Armonización Contable</w:t>
      </w:r>
      <w:r w:rsidR="006F79A6">
        <w:rPr>
          <w:lang w:val="es-MX"/>
        </w:rPr>
        <w:t>;</w:t>
      </w:r>
      <w:r w:rsidR="0046745F">
        <w:rPr>
          <w:lang w:val="es-MX"/>
        </w:rPr>
        <w:t xml:space="preserve"> </w:t>
      </w:r>
      <w:r w:rsidR="0046745F">
        <w:t>a la fecha no se han efectuado depreciaciones a los bienes muebles</w:t>
      </w:r>
      <w:r w:rsidRPr="00BB0B8C">
        <w:rPr>
          <w:lang w:val="es-MX"/>
        </w:rPr>
        <w:t>.</w:t>
      </w:r>
      <w:r w:rsidR="006F79A6" w:rsidRPr="006F79A6">
        <w:t xml:space="preserve"> </w:t>
      </w:r>
      <w:r w:rsidR="006F79A6">
        <w:t xml:space="preserve">Para el control </w:t>
      </w:r>
      <w:r w:rsidR="00032F70">
        <w:t>físico</w:t>
      </w:r>
      <w:r w:rsidR="006F79A6">
        <w:t xml:space="preserve"> de los bienes se utiliza el Sistema de Activos Gubernamentales</w:t>
      </w:r>
      <w:r w:rsidR="00032F70">
        <w:t>,</w:t>
      </w:r>
      <w:r w:rsidR="006F79A6">
        <w:t xml:space="preserve"> </w:t>
      </w:r>
      <w:r w:rsidR="00032F70">
        <w:t>cuyo responsable del registro</w:t>
      </w:r>
      <w:r w:rsidR="006F79A6">
        <w:t xml:space="preserve"> es </w:t>
      </w:r>
      <w:r w:rsidR="00032F70">
        <w:t>la</w:t>
      </w:r>
      <w:r w:rsidR="006F79A6">
        <w:t xml:space="preserve"> </w:t>
      </w:r>
      <w:r w:rsidR="00032F70">
        <w:t xml:space="preserve">oficina de </w:t>
      </w:r>
      <w:r w:rsidR="006F79A6">
        <w:t>suministros,</w:t>
      </w:r>
      <w:r w:rsidR="00032F70">
        <w:t xml:space="preserve"> mismo que </w:t>
      </w:r>
      <w:r w:rsidR="006F79A6">
        <w:t>se utiliza como control interno de los bienes o artículos que se reciben de los proveedores y a los cuales se les asigna un código.</w:t>
      </w:r>
    </w:p>
    <w:p w14:paraId="620EF8E8" w14:textId="77777777" w:rsidR="00AC7F8A" w:rsidRDefault="00AC7F8A" w:rsidP="00AC7F8A">
      <w:pPr>
        <w:pStyle w:val="ROMANOS"/>
        <w:spacing w:after="0" w:line="240" w:lineRule="exact"/>
        <w:rPr>
          <w:lang w:val="es-MX"/>
        </w:rPr>
      </w:pPr>
    </w:p>
    <w:p w14:paraId="620EF8E9" w14:textId="77777777" w:rsidR="00AC7F8A" w:rsidRDefault="00AC7F8A"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4629"/>
        <w:gridCol w:w="1984"/>
      </w:tblGrid>
      <w:tr w:rsidR="00AC7F8A" w:rsidRPr="00DE553E" w14:paraId="620EF8EC" w14:textId="77777777" w:rsidTr="005C0FD1">
        <w:trPr>
          <w:jc w:val="center"/>
        </w:trPr>
        <w:tc>
          <w:tcPr>
            <w:tcW w:w="4629" w:type="dxa"/>
            <w:noWrap/>
          </w:tcPr>
          <w:p w14:paraId="620EF8EA" w14:textId="21E02D72" w:rsidR="00AC7F8A" w:rsidRPr="00DE553E" w:rsidRDefault="00092B88" w:rsidP="00AD6257">
            <w:pPr>
              <w:pStyle w:val="ROMANOS"/>
              <w:spacing w:after="0" w:line="240" w:lineRule="auto"/>
            </w:pPr>
            <w:r w:rsidRPr="00DE553E">
              <w:t>Concepto</w:t>
            </w:r>
          </w:p>
        </w:tc>
        <w:tc>
          <w:tcPr>
            <w:tcW w:w="1984" w:type="dxa"/>
            <w:noWrap/>
          </w:tcPr>
          <w:p w14:paraId="620EF8EB" w14:textId="10BB992C" w:rsidR="00AC7F8A" w:rsidRPr="00DE553E" w:rsidRDefault="00092B88" w:rsidP="005C0FD1">
            <w:pPr>
              <w:pStyle w:val="ROMANOS"/>
              <w:spacing w:after="0" w:line="240" w:lineRule="auto"/>
              <w:jc w:val="center"/>
            </w:pPr>
            <w:r w:rsidRPr="00DE553E">
              <w:t>Importe</w:t>
            </w:r>
          </w:p>
        </w:tc>
      </w:tr>
      <w:tr w:rsidR="00DE553E" w:rsidRPr="00DE553E" w14:paraId="620EF8F5" w14:textId="77777777" w:rsidTr="00546D3F">
        <w:trPr>
          <w:jc w:val="center"/>
        </w:trPr>
        <w:tc>
          <w:tcPr>
            <w:tcW w:w="4629" w:type="dxa"/>
            <w:noWrap/>
            <w:hideMark/>
          </w:tcPr>
          <w:p w14:paraId="620EF8F3" w14:textId="6B540708" w:rsidR="00DE553E" w:rsidRPr="00DE553E" w:rsidRDefault="00DE553E" w:rsidP="00DE553E">
            <w:pPr>
              <w:pStyle w:val="ROMANOS"/>
              <w:spacing w:after="0" w:line="240" w:lineRule="auto"/>
              <w:rPr>
                <w:b/>
              </w:rPr>
            </w:pPr>
            <w:r w:rsidRPr="00DE553E">
              <w:t>Mobiliario y equipo de administración</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20EF8F4" w14:textId="5AC772A8" w:rsidR="00DE553E" w:rsidRPr="00DE553E" w:rsidRDefault="00DE553E" w:rsidP="00DE553E">
            <w:pPr>
              <w:jc w:val="right"/>
              <w:rPr>
                <w:rFonts w:ascii="Arial" w:hAnsi="Arial" w:cs="Arial"/>
                <w:color w:val="000000"/>
                <w:sz w:val="18"/>
                <w:szCs w:val="18"/>
              </w:rPr>
            </w:pPr>
            <w:r w:rsidRPr="00DE553E">
              <w:rPr>
                <w:rFonts w:ascii="Arial" w:hAnsi="Arial" w:cs="Arial"/>
                <w:sz w:val="18"/>
                <w:szCs w:val="18"/>
              </w:rPr>
              <w:t>138,485,662.92</w:t>
            </w:r>
          </w:p>
        </w:tc>
      </w:tr>
      <w:tr w:rsidR="00DE553E" w:rsidRPr="00DE553E" w14:paraId="620EF8F8" w14:textId="77777777" w:rsidTr="00546D3F">
        <w:trPr>
          <w:jc w:val="center"/>
        </w:trPr>
        <w:tc>
          <w:tcPr>
            <w:tcW w:w="4629" w:type="dxa"/>
            <w:noWrap/>
            <w:hideMark/>
          </w:tcPr>
          <w:p w14:paraId="620EF8F6" w14:textId="339FE102" w:rsidR="00DE553E" w:rsidRPr="00DE553E" w:rsidRDefault="00DE553E" w:rsidP="00DE553E">
            <w:pPr>
              <w:pStyle w:val="ROMANOS"/>
              <w:spacing w:after="0" w:line="240" w:lineRule="auto"/>
              <w:rPr>
                <w:b/>
              </w:rPr>
            </w:pPr>
            <w:r w:rsidRPr="00DE553E">
              <w:t>Mobiliario y equipo educacional y recreativo</w:t>
            </w:r>
          </w:p>
        </w:tc>
        <w:tc>
          <w:tcPr>
            <w:tcW w:w="1984" w:type="dxa"/>
            <w:tcBorders>
              <w:top w:val="nil"/>
              <w:left w:val="single" w:sz="4" w:space="0" w:color="auto"/>
              <w:bottom w:val="single" w:sz="4" w:space="0" w:color="auto"/>
              <w:right w:val="single" w:sz="4" w:space="0" w:color="auto"/>
            </w:tcBorders>
            <w:shd w:val="clear" w:color="auto" w:fill="auto"/>
            <w:noWrap/>
          </w:tcPr>
          <w:p w14:paraId="620EF8F7" w14:textId="3411A53D" w:rsidR="00DE553E" w:rsidRPr="00DE553E" w:rsidRDefault="00DE553E" w:rsidP="00DE553E">
            <w:pPr>
              <w:jc w:val="right"/>
              <w:rPr>
                <w:rFonts w:ascii="Arial" w:hAnsi="Arial" w:cs="Arial"/>
                <w:color w:val="000000"/>
                <w:sz w:val="18"/>
                <w:szCs w:val="18"/>
              </w:rPr>
            </w:pPr>
            <w:r w:rsidRPr="00DE553E">
              <w:rPr>
                <w:rFonts w:ascii="Arial" w:hAnsi="Arial" w:cs="Arial"/>
                <w:sz w:val="18"/>
                <w:szCs w:val="18"/>
              </w:rPr>
              <w:t>5,238,028.49</w:t>
            </w:r>
          </w:p>
        </w:tc>
      </w:tr>
      <w:tr w:rsidR="00DE553E" w:rsidRPr="00DE553E" w14:paraId="620EF8FB" w14:textId="77777777" w:rsidTr="00546D3F">
        <w:trPr>
          <w:jc w:val="center"/>
        </w:trPr>
        <w:tc>
          <w:tcPr>
            <w:tcW w:w="4629" w:type="dxa"/>
            <w:noWrap/>
            <w:hideMark/>
          </w:tcPr>
          <w:p w14:paraId="620EF8F9" w14:textId="41CE9D15" w:rsidR="00DE553E" w:rsidRPr="00DE553E" w:rsidRDefault="00DE553E" w:rsidP="00DE553E">
            <w:pPr>
              <w:pStyle w:val="ROMANOS"/>
              <w:spacing w:after="0" w:line="240" w:lineRule="auto"/>
              <w:rPr>
                <w:b/>
              </w:rPr>
            </w:pPr>
            <w:r w:rsidRPr="00DE553E">
              <w:t>Equipo e instrumental médico y de laboratorio</w:t>
            </w:r>
          </w:p>
        </w:tc>
        <w:tc>
          <w:tcPr>
            <w:tcW w:w="1984" w:type="dxa"/>
            <w:tcBorders>
              <w:top w:val="nil"/>
              <w:left w:val="single" w:sz="4" w:space="0" w:color="auto"/>
              <w:bottom w:val="single" w:sz="4" w:space="0" w:color="auto"/>
              <w:right w:val="single" w:sz="4" w:space="0" w:color="auto"/>
            </w:tcBorders>
            <w:shd w:val="clear" w:color="auto" w:fill="auto"/>
            <w:noWrap/>
          </w:tcPr>
          <w:p w14:paraId="620EF8FA" w14:textId="3AB435CD" w:rsidR="00DE553E" w:rsidRPr="00DE553E" w:rsidRDefault="00DE553E" w:rsidP="00DE553E">
            <w:pPr>
              <w:jc w:val="right"/>
              <w:rPr>
                <w:rFonts w:ascii="Arial" w:hAnsi="Arial" w:cs="Arial"/>
                <w:color w:val="000000"/>
                <w:sz w:val="18"/>
                <w:szCs w:val="18"/>
              </w:rPr>
            </w:pPr>
            <w:r w:rsidRPr="00DE553E">
              <w:rPr>
                <w:rFonts w:ascii="Arial" w:hAnsi="Arial" w:cs="Arial"/>
                <w:sz w:val="18"/>
                <w:szCs w:val="18"/>
              </w:rPr>
              <w:t>787,681,936.81</w:t>
            </w:r>
          </w:p>
        </w:tc>
      </w:tr>
      <w:tr w:rsidR="00DE553E" w:rsidRPr="00DE553E" w14:paraId="620EF8FE" w14:textId="77777777" w:rsidTr="00546D3F">
        <w:trPr>
          <w:jc w:val="center"/>
        </w:trPr>
        <w:tc>
          <w:tcPr>
            <w:tcW w:w="4629" w:type="dxa"/>
            <w:noWrap/>
          </w:tcPr>
          <w:p w14:paraId="620EF8FC" w14:textId="5FA02B9A" w:rsidR="00DE553E" w:rsidRPr="00DE553E" w:rsidRDefault="00DE553E" w:rsidP="00DE553E">
            <w:pPr>
              <w:pStyle w:val="ROMANOS"/>
              <w:spacing w:after="0" w:line="240" w:lineRule="auto"/>
              <w:rPr>
                <w:b/>
              </w:rPr>
            </w:pPr>
            <w:r w:rsidRPr="00DE553E">
              <w:t>Vehículos y equipo de transporte</w:t>
            </w:r>
          </w:p>
        </w:tc>
        <w:tc>
          <w:tcPr>
            <w:tcW w:w="1984" w:type="dxa"/>
            <w:tcBorders>
              <w:top w:val="nil"/>
              <w:left w:val="single" w:sz="4" w:space="0" w:color="auto"/>
              <w:bottom w:val="single" w:sz="4" w:space="0" w:color="auto"/>
              <w:right w:val="single" w:sz="4" w:space="0" w:color="auto"/>
            </w:tcBorders>
            <w:shd w:val="clear" w:color="auto" w:fill="auto"/>
            <w:noWrap/>
          </w:tcPr>
          <w:p w14:paraId="620EF8FD" w14:textId="1D1DEDEC" w:rsidR="00DE553E" w:rsidRPr="00DE553E" w:rsidRDefault="00DE553E" w:rsidP="00DE553E">
            <w:pPr>
              <w:jc w:val="right"/>
              <w:rPr>
                <w:rFonts w:ascii="Arial" w:hAnsi="Arial" w:cs="Arial"/>
                <w:color w:val="000000"/>
                <w:sz w:val="18"/>
                <w:szCs w:val="18"/>
              </w:rPr>
            </w:pPr>
            <w:r w:rsidRPr="00DE553E">
              <w:rPr>
                <w:rFonts w:ascii="Arial" w:hAnsi="Arial" w:cs="Arial"/>
                <w:sz w:val="18"/>
                <w:szCs w:val="18"/>
              </w:rPr>
              <w:t>49,067,852.64</w:t>
            </w:r>
          </w:p>
        </w:tc>
      </w:tr>
      <w:tr w:rsidR="00DE553E" w:rsidRPr="00DE553E" w14:paraId="0834E986" w14:textId="77777777" w:rsidTr="00546D3F">
        <w:trPr>
          <w:jc w:val="center"/>
        </w:trPr>
        <w:tc>
          <w:tcPr>
            <w:tcW w:w="4629" w:type="dxa"/>
            <w:noWrap/>
          </w:tcPr>
          <w:p w14:paraId="63E03C41" w14:textId="3AD67DFA" w:rsidR="00DE553E" w:rsidRPr="00DE553E" w:rsidRDefault="00DE553E" w:rsidP="00DE553E">
            <w:pPr>
              <w:pStyle w:val="ROMANOS"/>
              <w:spacing w:after="0" w:line="240" w:lineRule="auto"/>
              <w:rPr>
                <w:b/>
              </w:rPr>
            </w:pPr>
            <w:r w:rsidRPr="00DE553E">
              <w:t>Maquinaria, otros equipos y herramientas</w:t>
            </w:r>
          </w:p>
        </w:tc>
        <w:tc>
          <w:tcPr>
            <w:tcW w:w="1984" w:type="dxa"/>
            <w:tcBorders>
              <w:top w:val="nil"/>
              <w:left w:val="single" w:sz="4" w:space="0" w:color="auto"/>
              <w:bottom w:val="single" w:sz="4" w:space="0" w:color="auto"/>
              <w:right w:val="single" w:sz="4" w:space="0" w:color="auto"/>
            </w:tcBorders>
            <w:shd w:val="clear" w:color="auto" w:fill="auto"/>
            <w:noWrap/>
          </w:tcPr>
          <w:p w14:paraId="2C746434" w14:textId="65F9463E" w:rsidR="00DE553E" w:rsidRPr="00DE553E" w:rsidRDefault="00DE553E" w:rsidP="00DE553E">
            <w:pPr>
              <w:jc w:val="right"/>
              <w:rPr>
                <w:rFonts w:ascii="Arial" w:hAnsi="Arial" w:cs="Arial"/>
                <w:color w:val="000000"/>
                <w:sz w:val="18"/>
                <w:szCs w:val="18"/>
              </w:rPr>
            </w:pPr>
            <w:r w:rsidRPr="00DE553E">
              <w:rPr>
                <w:rFonts w:ascii="Arial" w:hAnsi="Arial" w:cs="Arial"/>
                <w:sz w:val="18"/>
                <w:szCs w:val="18"/>
              </w:rPr>
              <w:t>25,704,099.31</w:t>
            </w:r>
          </w:p>
        </w:tc>
      </w:tr>
      <w:tr w:rsidR="00611646" w:rsidRPr="00DE553E" w14:paraId="08111723" w14:textId="77777777" w:rsidTr="005C0FD1">
        <w:trPr>
          <w:jc w:val="center"/>
        </w:trPr>
        <w:tc>
          <w:tcPr>
            <w:tcW w:w="4629" w:type="dxa"/>
            <w:noWrap/>
          </w:tcPr>
          <w:p w14:paraId="7C6F97F2" w14:textId="6CBF3B03" w:rsidR="00611646" w:rsidRPr="00DE553E" w:rsidRDefault="00611646" w:rsidP="00611646">
            <w:pPr>
              <w:pStyle w:val="ROMANOS"/>
              <w:spacing w:after="0" w:line="240" w:lineRule="auto"/>
              <w:rPr>
                <w:b/>
              </w:rPr>
            </w:pPr>
            <w:r w:rsidRPr="00DE553E">
              <w:rPr>
                <w:b/>
              </w:rPr>
              <w:t>Suma</w:t>
            </w:r>
          </w:p>
        </w:tc>
        <w:tc>
          <w:tcPr>
            <w:tcW w:w="1984" w:type="dxa"/>
            <w:noWrap/>
          </w:tcPr>
          <w:p w14:paraId="60250A82" w14:textId="3A4F4D8C" w:rsidR="00611646" w:rsidRPr="00DE553E" w:rsidRDefault="00DE553E" w:rsidP="00611646">
            <w:pPr>
              <w:jc w:val="right"/>
              <w:rPr>
                <w:rFonts w:ascii="Arial" w:hAnsi="Arial" w:cs="Arial"/>
                <w:b/>
                <w:color w:val="000000"/>
                <w:sz w:val="18"/>
                <w:szCs w:val="18"/>
              </w:rPr>
            </w:pPr>
            <w:r w:rsidRPr="00DE553E">
              <w:rPr>
                <w:rFonts w:ascii="Arial" w:hAnsi="Arial" w:cs="Arial"/>
                <w:b/>
                <w:color w:val="000000"/>
                <w:sz w:val="18"/>
                <w:szCs w:val="18"/>
              </w:rPr>
              <w:fldChar w:fldCharType="begin"/>
            </w:r>
            <w:r w:rsidRPr="00DE553E">
              <w:rPr>
                <w:rFonts w:ascii="Arial" w:hAnsi="Arial" w:cs="Arial"/>
                <w:b/>
                <w:color w:val="000000"/>
                <w:sz w:val="18"/>
                <w:szCs w:val="18"/>
              </w:rPr>
              <w:instrText xml:space="preserve"> =SUM(ABOVE) </w:instrText>
            </w:r>
            <w:r w:rsidRPr="00DE553E">
              <w:rPr>
                <w:rFonts w:ascii="Arial" w:hAnsi="Arial" w:cs="Arial"/>
                <w:b/>
                <w:color w:val="000000"/>
                <w:sz w:val="18"/>
                <w:szCs w:val="18"/>
              </w:rPr>
              <w:fldChar w:fldCharType="separate"/>
            </w:r>
            <w:r w:rsidRPr="00DE553E">
              <w:rPr>
                <w:rFonts w:ascii="Arial" w:hAnsi="Arial" w:cs="Arial"/>
                <w:b/>
                <w:noProof/>
                <w:color w:val="000000"/>
                <w:sz w:val="18"/>
                <w:szCs w:val="18"/>
              </w:rPr>
              <w:t>1,006,177,580.17</w:t>
            </w:r>
            <w:r w:rsidRPr="00DE553E">
              <w:rPr>
                <w:rFonts w:ascii="Arial" w:hAnsi="Arial" w:cs="Arial"/>
                <w:b/>
                <w:color w:val="000000"/>
                <w:sz w:val="18"/>
                <w:szCs w:val="18"/>
              </w:rPr>
              <w:fldChar w:fldCharType="end"/>
            </w:r>
          </w:p>
        </w:tc>
      </w:tr>
    </w:tbl>
    <w:p w14:paraId="620EF902" w14:textId="77777777" w:rsidR="00AC7F8A" w:rsidRDefault="00AC7F8A" w:rsidP="00AC7F8A">
      <w:pPr>
        <w:pStyle w:val="ROMANOS"/>
        <w:spacing w:after="0" w:line="240" w:lineRule="auto"/>
        <w:rPr>
          <w:lang w:val="es-MX"/>
        </w:rPr>
      </w:pPr>
    </w:p>
    <w:p w14:paraId="620EF903" w14:textId="77777777" w:rsidR="00AC7F8A" w:rsidRDefault="00AC7F8A" w:rsidP="00AC7F8A">
      <w:pPr>
        <w:pStyle w:val="ROMANOS"/>
        <w:spacing w:after="0" w:line="240" w:lineRule="exact"/>
        <w:rPr>
          <w:lang w:val="es-MX"/>
        </w:rPr>
      </w:pPr>
    </w:p>
    <w:p w14:paraId="620EF904" w14:textId="77777777" w:rsidR="00AC7F8A" w:rsidRDefault="00AC7F8A" w:rsidP="00AC7F8A">
      <w:pPr>
        <w:pStyle w:val="ROMANOS"/>
        <w:spacing w:after="0" w:line="240" w:lineRule="exact"/>
        <w:rPr>
          <w:lang w:val="es-MX"/>
        </w:rPr>
      </w:pPr>
    </w:p>
    <w:p w14:paraId="620EF906" w14:textId="6FDE9CB5" w:rsidR="00AC7F8A" w:rsidRDefault="0079784C" w:rsidP="00611646">
      <w:pPr>
        <w:pStyle w:val="ROMANOS"/>
        <w:spacing w:after="0" w:line="240" w:lineRule="exact"/>
        <w:ind w:left="708" w:firstLine="0"/>
      </w:pPr>
      <w:r w:rsidRPr="0079784C">
        <w:t>El rubro bienes intangibles se encuentra registrado a su valor de adquisición</w:t>
      </w:r>
      <w:r w:rsidR="00BA75F8">
        <w:t>, a la fecha no se han efectuado</w:t>
      </w:r>
      <w:r w:rsidR="00BD71CE">
        <w:t xml:space="preserve"> amortizaciones a los activos intangibles</w:t>
      </w:r>
      <w:r>
        <w:t>.</w:t>
      </w:r>
    </w:p>
    <w:p w14:paraId="0B60A6F5" w14:textId="15F1A9DF" w:rsidR="00BA75F8"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BA75F8" w:rsidRPr="00BD71CE" w14:paraId="14471AE8" w14:textId="77777777" w:rsidTr="00E54B7E">
        <w:trPr>
          <w:jc w:val="center"/>
        </w:trPr>
        <w:tc>
          <w:tcPr>
            <w:tcW w:w="4629" w:type="dxa"/>
            <w:noWrap/>
          </w:tcPr>
          <w:p w14:paraId="10F38BC6" w14:textId="180BEFDC" w:rsidR="00BA75F8" w:rsidRPr="00BD71CE" w:rsidRDefault="00092B88" w:rsidP="00E54B7E">
            <w:pPr>
              <w:pStyle w:val="ROMANOS"/>
              <w:spacing w:after="0" w:line="240" w:lineRule="auto"/>
            </w:pPr>
            <w:r w:rsidRPr="00BD71CE">
              <w:t>Concepto</w:t>
            </w:r>
          </w:p>
        </w:tc>
        <w:tc>
          <w:tcPr>
            <w:tcW w:w="1984" w:type="dxa"/>
            <w:noWrap/>
          </w:tcPr>
          <w:p w14:paraId="6A45D69C" w14:textId="45794E9F" w:rsidR="00BA75F8" w:rsidRPr="00BD71CE" w:rsidRDefault="00092B88" w:rsidP="00E54B7E">
            <w:pPr>
              <w:pStyle w:val="ROMANOS"/>
              <w:spacing w:after="0" w:line="240" w:lineRule="auto"/>
              <w:jc w:val="center"/>
            </w:pPr>
            <w:r w:rsidRPr="00BD71CE">
              <w:t>Importe</w:t>
            </w:r>
          </w:p>
        </w:tc>
      </w:tr>
      <w:tr w:rsidR="00BA75F8" w:rsidRPr="00BD71CE" w14:paraId="77E7B60D" w14:textId="77777777" w:rsidTr="00E54B7E">
        <w:trPr>
          <w:jc w:val="center"/>
        </w:trPr>
        <w:tc>
          <w:tcPr>
            <w:tcW w:w="4629" w:type="dxa"/>
            <w:noWrap/>
          </w:tcPr>
          <w:p w14:paraId="293F2FF7" w14:textId="77777777" w:rsidR="00BA75F8" w:rsidRPr="00BD71CE" w:rsidRDefault="00BA75F8" w:rsidP="00E54B7E">
            <w:pPr>
              <w:pStyle w:val="ROMANOS"/>
              <w:spacing w:after="0" w:line="240" w:lineRule="auto"/>
              <w:rPr>
                <w:b/>
              </w:rPr>
            </w:pPr>
            <w:r w:rsidRPr="00BD71CE">
              <w:t>Software</w:t>
            </w:r>
          </w:p>
        </w:tc>
        <w:tc>
          <w:tcPr>
            <w:tcW w:w="1984" w:type="dxa"/>
            <w:noWrap/>
          </w:tcPr>
          <w:p w14:paraId="781FD2D2" w14:textId="7CFCAF5B" w:rsidR="00BA75F8" w:rsidRPr="00BD71CE" w:rsidRDefault="008F4EEA" w:rsidP="00E54B7E">
            <w:pPr>
              <w:jc w:val="right"/>
              <w:rPr>
                <w:rFonts w:ascii="Arial" w:hAnsi="Arial" w:cs="Arial"/>
                <w:color w:val="000000"/>
                <w:sz w:val="18"/>
                <w:szCs w:val="18"/>
              </w:rPr>
            </w:pPr>
            <w:r w:rsidRPr="008F4EEA">
              <w:rPr>
                <w:rFonts w:ascii="Arial" w:hAnsi="Arial" w:cs="Arial"/>
                <w:sz w:val="18"/>
                <w:szCs w:val="18"/>
              </w:rPr>
              <w:t>241,228.21</w:t>
            </w:r>
          </w:p>
        </w:tc>
      </w:tr>
      <w:tr w:rsidR="00BA75F8" w:rsidRPr="00323DA4" w14:paraId="3E4DC02A" w14:textId="77777777" w:rsidTr="00E54B7E">
        <w:trPr>
          <w:jc w:val="center"/>
        </w:trPr>
        <w:tc>
          <w:tcPr>
            <w:tcW w:w="4629" w:type="dxa"/>
            <w:noWrap/>
          </w:tcPr>
          <w:p w14:paraId="0F4002FE" w14:textId="77777777" w:rsidR="00BA75F8" w:rsidRPr="00323DA4" w:rsidRDefault="00BA75F8" w:rsidP="00E54B7E">
            <w:pPr>
              <w:pStyle w:val="ROMANOS"/>
              <w:spacing w:after="0" w:line="240" w:lineRule="auto"/>
              <w:rPr>
                <w:b/>
              </w:rPr>
            </w:pPr>
            <w:r w:rsidRPr="00323DA4">
              <w:rPr>
                <w:b/>
              </w:rPr>
              <w:t>Suma</w:t>
            </w:r>
          </w:p>
        </w:tc>
        <w:tc>
          <w:tcPr>
            <w:tcW w:w="1984" w:type="dxa"/>
            <w:noWrap/>
          </w:tcPr>
          <w:p w14:paraId="25BF7DE7" w14:textId="107099E5" w:rsidR="00BA75F8" w:rsidRPr="00323DA4" w:rsidRDefault="008F4EEA" w:rsidP="00E54B7E">
            <w:pPr>
              <w:jc w:val="right"/>
              <w:rPr>
                <w:rFonts w:ascii="Arial" w:hAnsi="Arial" w:cs="Arial"/>
                <w:b/>
                <w:color w:val="000000"/>
                <w:sz w:val="18"/>
                <w:szCs w:val="16"/>
              </w:rPr>
            </w:pPr>
            <w:r>
              <w:rPr>
                <w:rFonts w:ascii="Arial" w:hAnsi="Arial" w:cs="Arial"/>
                <w:b/>
                <w:color w:val="000000"/>
                <w:sz w:val="18"/>
                <w:szCs w:val="16"/>
              </w:rPr>
              <w:fldChar w:fldCharType="begin"/>
            </w:r>
            <w:r>
              <w:rPr>
                <w:rFonts w:ascii="Arial" w:hAnsi="Arial" w:cs="Arial"/>
                <w:b/>
                <w:color w:val="000000"/>
                <w:sz w:val="18"/>
                <w:szCs w:val="16"/>
              </w:rPr>
              <w:instrText xml:space="preserve"> =SUM(ABOVE) </w:instrText>
            </w:r>
            <w:r>
              <w:rPr>
                <w:rFonts w:ascii="Arial" w:hAnsi="Arial" w:cs="Arial"/>
                <w:b/>
                <w:color w:val="000000"/>
                <w:sz w:val="18"/>
                <w:szCs w:val="16"/>
              </w:rPr>
              <w:fldChar w:fldCharType="separate"/>
            </w:r>
            <w:r>
              <w:rPr>
                <w:rFonts w:ascii="Arial" w:hAnsi="Arial" w:cs="Arial"/>
                <w:b/>
                <w:noProof/>
                <w:color w:val="000000"/>
                <w:sz w:val="18"/>
                <w:szCs w:val="16"/>
              </w:rPr>
              <w:t>241,228.21</w:t>
            </w:r>
            <w:r>
              <w:rPr>
                <w:rFonts w:ascii="Arial" w:hAnsi="Arial" w:cs="Arial"/>
                <w:b/>
                <w:color w:val="000000"/>
                <w:sz w:val="18"/>
                <w:szCs w:val="16"/>
              </w:rPr>
              <w:fldChar w:fldCharType="end"/>
            </w:r>
          </w:p>
        </w:tc>
      </w:tr>
    </w:tbl>
    <w:p w14:paraId="730E9192" w14:textId="77777777" w:rsidR="00BA75F8" w:rsidRPr="00826EBE"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p w14:paraId="620EF907" w14:textId="77777777" w:rsidR="00AC7F8A" w:rsidRDefault="00AC7F8A" w:rsidP="00AC7F8A">
      <w:pPr>
        <w:pStyle w:val="ROMANOS"/>
        <w:spacing w:after="0" w:line="240" w:lineRule="exact"/>
        <w:rPr>
          <w:lang w:val="es-MX"/>
        </w:rPr>
      </w:pPr>
    </w:p>
    <w:p w14:paraId="620EF908" w14:textId="77777777" w:rsidR="00AC7F8A" w:rsidRPr="00630DB0" w:rsidRDefault="00AC7F8A" w:rsidP="00AC7F8A">
      <w:pPr>
        <w:pStyle w:val="ROMANOS"/>
        <w:spacing w:after="0" w:line="240" w:lineRule="exact"/>
        <w:rPr>
          <w:lang w:val="es-MX"/>
        </w:rPr>
      </w:pPr>
    </w:p>
    <w:p w14:paraId="620EF909" w14:textId="77777777" w:rsidR="00AC7F8A" w:rsidRPr="00630DB0" w:rsidRDefault="00AC7F8A" w:rsidP="00AC7F8A">
      <w:pPr>
        <w:pStyle w:val="ROMANOS"/>
        <w:spacing w:after="0" w:line="240" w:lineRule="exact"/>
        <w:rPr>
          <w:b/>
          <w:lang w:val="es-MX"/>
        </w:rPr>
      </w:pPr>
      <w:r w:rsidRPr="00630DB0">
        <w:rPr>
          <w:b/>
          <w:lang w:val="es-MX"/>
        </w:rPr>
        <w:tab/>
        <w:t>Estimaciones y Deterioros</w:t>
      </w:r>
    </w:p>
    <w:p w14:paraId="620EF90A" w14:textId="3177E94B"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sidR="006F79A6">
        <w:rPr>
          <w:lang w:val="es-MX"/>
        </w:rPr>
        <w:t>d</w:t>
      </w:r>
      <w:r w:rsidRPr="00C8597B">
        <w:rPr>
          <w:lang w:val="es-MX"/>
        </w:rPr>
        <w:t>o</w:t>
      </w:r>
      <w:r w:rsidR="006F79A6">
        <w:rPr>
          <w:lang w:val="es-MX"/>
        </w:rPr>
        <w:t xml:space="preserve"> </w:t>
      </w:r>
      <w:r w:rsidRPr="00C8597B">
        <w:rPr>
          <w:lang w:val="es-MX"/>
        </w:rPr>
        <w:t xml:space="preserve">deterioros de los activos durante el </w:t>
      </w:r>
      <w:r w:rsidR="004431B3">
        <w:rPr>
          <w:lang w:val="es-MX"/>
        </w:rPr>
        <w:t>periodo que se presenta</w:t>
      </w:r>
      <w:r w:rsidRPr="00C8597B">
        <w:rPr>
          <w:lang w:val="es-MX"/>
        </w:rPr>
        <w:t>.</w:t>
      </w:r>
    </w:p>
    <w:p w14:paraId="620EF90B" w14:textId="603D9D4A" w:rsidR="00AC7F8A" w:rsidRDefault="00AC7F8A" w:rsidP="00AC7F8A">
      <w:pPr>
        <w:pStyle w:val="ROMANOS"/>
        <w:spacing w:after="0" w:line="240" w:lineRule="exact"/>
        <w:rPr>
          <w:lang w:val="es-MX"/>
        </w:rPr>
      </w:pPr>
    </w:p>
    <w:p w14:paraId="36C7FED1" w14:textId="77777777" w:rsidR="006F79A6" w:rsidRDefault="006F79A6" w:rsidP="00AC7F8A">
      <w:pPr>
        <w:pStyle w:val="ROMANOS"/>
        <w:spacing w:after="0" w:line="240" w:lineRule="exact"/>
        <w:rPr>
          <w:lang w:val="es-MX"/>
        </w:rPr>
      </w:pPr>
    </w:p>
    <w:p w14:paraId="620EF90C" w14:textId="77777777" w:rsidR="00AC7F8A" w:rsidRPr="00630DB0" w:rsidRDefault="00AC7F8A" w:rsidP="00AC7F8A">
      <w:pPr>
        <w:pStyle w:val="ROMANOS"/>
        <w:spacing w:after="0" w:line="240" w:lineRule="exact"/>
        <w:rPr>
          <w:lang w:val="es-MX"/>
        </w:rPr>
      </w:pPr>
    </w:p>
    <w:p w14:paraId="620EF90D" w14:textId="77777777" w:rsidR="00AC7F8A" w:rsidRPr="00630DB0" w:rsidRDefault="00AC7F8A" w:rsidP="00AC7F8A">
      <w:pPr>
        <w:pStyle w:val="ROMANOS"/>
        <w:spacing w:after="0" w:line="240" w:lineRule="exact"/>
        <w:rPr>
          <w:b/>
          <w:lang w:val="es-MX"/>
        </w:rPr>
      </w:pPr>
      <w:r w:rsidRPr="00630DB0">
        <w:rPr>
          <w:b/>
          <w:lang w:val="es-MX"/>
        </w:rPr>
        <w:tab/>
        <w:t>Otros Activos</w:t>
      </w:r>
    </w:p>
    <w:p w14:paraId="620EF90E" w14:textId="567A4FC1" w:rsidR="00AC7F8A" w:rsidRPr="00630DB0" w:rsidRDefault="00AC7F8A" w:rsidP="00AC7F8A">
      <w:pPr>
        <w:pStyle w:val="ROMANOS"/>
        <w:spacing w:after="0" w:line="240" w:lineRule="exact"/>
        <w:rPr>
          <w:lang w:val="es-MX"/>
        </w:rPr>
      </w:pPr>
      <w:r>
        <w:rPr>
          <w:lang w:val="es-MX"/>
        </w:rPr>
        <w:tab/>
        <w:t>Al cierre del periodo que se informa</w:t>
      </w:r>
      <w:r w:rsidR="00417393">
        <w:rPr>
          <w:lang w:val="es-MX"/>
        </w:rPr>
        <w:t>,</w:t>
      </w:r>
      <w:r>
        <w:rPr>
          <w:lang w:val="es-MX"/>
        </w:rPr>
        <w:t xml:space="preserve">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sidR="00032F70">
        <w:rPr>
          <w:lang w:val="es-MX"/>
        </w:rPr>
        <w:t>tiene</w:t>
      </w:r>
      <w:r w:rsidRPr="00630DB0">
        <w:rPr>
          <w:lang w:val="es-MX"/>
        </w:rPr>
        <w:t xml:space="preserve"> cuentas de otros activos.</w:t>
      </w:r>
    </w:p>
    <w:p w14:paraId="620EF912" w14:textId="77777777" w:rsidR="00AC7F8A" w:rsidRDefault="00AC7F8A" w:rsidP="00AC7F8A">
      <w:pPr>
        <w:pStyle w:val="ROMANOS"/>
        <w:spacing w:after="0" w:line="240" w:lineRule="exact"/>
        <w:rPr>
          <w:lang w:val="es-MX"/>
        </w:rPr>
      </w:pPr>
    </w:p>
    <w:p w14:paraId="0304B2A3" w14:textId="77777777" w:rsidR="002E5ED2" w:rsidRPr="00630DB0" w:rsidRDefault="002E5ED2" w:rsidP="00AC7F8A">
      <w:pPr>
        <w:pStyle w:val="ROMANOS"/>
        <w:spacing w:after="0" w:line="240" w:lineRule="exact"/>
        <w:rPr>
          <w:lang w:val="es-MX"/>
        </w:rPr>
      </w:pPr>
    </w:p>
    <w:p w14:paraId="620EF913" w14:textId="77777777" w:rsidR="00AC7F8A" w:rsidRPr="00630DB0" w:rsidRDefault="00AC7F8A" w:rsidP="00AC7F8A">
      <w:pPr>
        <w:pStyle w:val="ROMANOS"/>
        <w:spacing w:after="0" w:line="240" w:lineRule="exact"/>
        <w:ind w:left="432"/>
        <w:rPr>
          <w:b/>
          <w:lang w:val="es-MX"/>
        </w:rPr>
      </w:pPr>
      <w:r w:rsidRPr="00630DB0">
        <w:rPr>
          <w:b/>
          <w:lang w:val="es-MX"/>
        </w:rPr>
        <w:tab/>
      </w:r>
      <w:r w:rsidRPr="00630DB0">
        <w:rPr>
          <w:b/>
          <w:lang w:val="es-MX"/>
        </w:rPr>
        <w:tab/>
        <w:t>Pasivo</w:t>
      </w:r>
    </w:p>
    <w:p w14:paraId="620EF914" w14:textId="77777777" w:rsidR="00AC7F8A" w:rsidRDefault="00AC7F8A" w:rsidP="00AC7F8A">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14:paraId="620EF915" w14:textId="77777777" w:rsidR="00AC7F8A" w:rsidRDefault="00AC7F8A" w:rsidP="00AC7F8A">
      <w:pPr>
        <w:pStyle w:val="ROMANOS"/>
        <w:spacing w:after="0" w:line="240" w:lineRule="exact"/>
        <w:ind w:left="723" w:firstLine="0"/>
      </w:pPr>
    </w:p>
    <w:p w14:paraId="620EF916" w14:textId="7C443B42" w:rsidR="00AC7F8A" w:rsidRPr="00630DB0" w:rsidRDefault="00AC7F8A" w:rsidP="00AC7F8A">
      <w:pPr>
        <w:pStyle w:val="ROMANOS"/>
        <w:spacing w:after="0" w:line="240" w:lineRule="exact"/>
        <w:ind w:left="723" w:firstLine="0"/>
        <w:rPr>
          <w:lang w:val="es-MX"/>
        </w:rPr>
      </w:pPr>
      <w:r>
        <w:rPr>
          <w:lang w:val="es-MX"/>
        </w:rPr>
        <w:t xml:space="preserve">Dentro de </w:t>
      </w:r>
      <w:r w:rsidRPr="00630DB0">
        <w:rPr>
          <w:lang w:val="es-MX"/>
        </w:rPr>
        <w:t xml:space="preserve">los adeudos que </w:t>
      </w:r>
      <w:r w:rsidR="00915012">
        <w:rPr>
          <w:lang w:val="es-MX"/>
        </w:rPr>
        <w:t>este</w:t>
      </w:r>
      <w:r>
        <w:rPr>
          <w:lang w:val="es-MX"/>
        </w:rPr>
        <w:t xml:space="preserv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 xml:space="preserve">retenciones a los </w:t>
      </w:r>
      <w:r w:rsidR="00032F70" w:rsidRPr="00630DB0">
        <w:rPr>
          <w:lang w:val="es-MX"/>
        </w:rPr>
        <w:t xml:space="preserve">trabajadores </w:t>
      </w:r>
      <w:r w:rsidRPr="00630DB0">
        <w:rPr>
          <w:lang w:val="es-MX"/>
        </w:rPr>
        <w:t>de Salud de Tlaxcala</w:t>
      </w:r>
      <w:r>
        <w:rPr>
          <w:lang w:val="es-MX"/>
        </w:rPr>
        <w:t xml:space="preserve">, </w:t>
      </w:r>
      <w:r>
        <w:t xml:space="preserve">mismas </w:t>
      </w:r>
      <w:r w:rsidRPr="001528B7">
        <w:t xml:space="preserve">que se enteran en el mes inmediato posterior </w:t>
      </w:r>
      <w:r w:rsidR="006378D4">
        <w:t>según</w:t>
      </w:r>
      <w:r w:rsidRPr="001528B7">
        <w:t xml:space="preserve"> los plazos establecidos en las disposiciones legales aplicables.</w:t>
      </w:r>
    </w:p>
    <w:p w14:paraId="620EF917" w14:textId="77777777" w:rsidR="00AC7F8A" w:rsidRDefault="00AC7F8A" w:rsidP="00AC7F8A">
      <w:pPr>
        <w:pStyle w:val="ROMANOS"/>
        <w:spacing w:after="0" w:line="240" w:lineRule="exact"/>
        <w:ind w:left="723" w:firstLine="0"/>
        <w:rPr>
          <w:lang w:val="es-MX"/>
        </w:rPr>
      </w:pPr>
    </w:p>
    <w:p w14:paraId="620EF918" w14:textId="77777777" w:rsidR="00AC7F8A" w:rsidRDefault="00AC7F8A" w:rsidP="00AC7F8A">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46745F" w:rsidRPr="00DE553E" w14:paraId="620EF91C" w14:textId="77777777" w:rsidTr="0046745F">
        <w:trPr>
          <w:trHeight w:val="227"/>
          <w:jc w:val="center"/>
        </w:trPr>
        <w:tc>
          <w:tcPr>
            <w:tcW w:w="5121" w:type="dxa"/>
            <w:noWrap/>
          </w:tcPr>
          <w:p w14:paraId="620EF919" w14:textId="7E4CC947" w:rsidR="0046745F" w:rsidRPr="00DE553E" w:rsidRDefault="003E1FD7" w:rsidP="00AD6257">
            <w:pPr>
              <w:jc w:val="center"/>
              <w:rPr>
                <w:rFonts w:ascii="Arial" w:eastAsia="Times New Roman" w:hAnsi="Arial" w:cs="Arial"/>
                <w:sz w:val="18"/>
                <w:szCs w:val="18"/>
                <w:lang w:eastAsia="es-ES"/>
              </w:rPr>
            </w:pPr>
            <w:r w:rsidRPr="00DE553E">
              <w:rPr>
                <w:rFonts w:ascii="Arial" w:eastAsia="Times New Roman" w:hAnsi="Arial" w:cs="Arial"/>
                <w:sz w:val="18"/>
                <w:szCs w:val="18"/>
                <w:lang w:eastAsia="es-ES"/>
              </w:rPr>
              <w:t>Concepto</w:t>
            </w:r>
          </w:p>
        </w:tc>
        <w:tc>
          <w:tcPr>
            <w:tcW w:w="1608" w:type="dxa"/>
            <w:noWrap/>
          </w:tcPr>
          <w:p w14:paraId="620EF91A" w14:textId="434E96FA" w:rsidR="0046745F" w:rsidRPr="00DE553E" w:rsidRDefault="003E1FD7" w:rsidP="00AD6257">
            <w:pPr>
              <w:jc w:val="center"/>
              <w:rPr>
                <w:rFonts w:ascii="Arial" w:eastAsia="Times New Roman" w:hAnsi="Arial" w:cs="Arial"/>
                <w:sz w:val="18"/>
                <w:szCs w:val="18"/>
                <w:lang w:eastAsia="es-ES"/>
              </w:rPr>
            </w:pPr>
            <w:r w:rsidRPr="00DE553E">
              <w:rPr>
                <w:rFonts w:ascii="Arial" w:eastAsia="Times New Roman" w:hAnsi="Arial" w:cs="Arial"/>
                <w:sz w:val="18"/>
                <w:szCs w:val="18"/>
                <w:lang w:eastAsia="es-ES"/>
              </w:rPr>
              <w:t>Importe</w:t>
            </w:r>
          </w:p>
        </w:tc>
      </w:tr>
      <w:tr w:rsidR="00DE553E" w:rsidRPr="00DE553E" w14:paraId="620EF920" w14:textId="77777777" w:rsidTr="005C093D">
        <w:trPr>
          <w:trHeight w:val="227"/>
          <w:jc w:val="center"/>
        </w:trPr>
        <w:tc>
          <w:tcPr>
            <w:tcW w:w="5121" w:type="dxa"/>
            <w:noWrap/>
            <w:hideMark/>
          </w:tcPr>
          <w:p w14:paraId="620EF91D" w14:textId="282696E8" w:rsidR="00DE553E" w:rsidRPr="00DE553E" w:rsidRDefault="00DE553E" w:rsidP="00DE553E">
            <w:pPr>
              <w:rPr>
                <w:rFonts w:ascii="Arial" w:eastAsia="Times New Roman" w:hAnsi="Arial" w:cs="Arial"/>
                <w:sz w:val="18"/>
                <w:szCs w:val="18"/>
                <w:lang w:eastAsia="es-ES"/>
              </w:rPr>
            </w:pPr>
            <w:r w:rsidRPr="00DE553E">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shd w:val="clear" w:color="auto" w:fill="auto"/>
            <w:noWrap/>
            <w:hideMark/>
          </w:tcPr>
          <w:p w14:paraId="620EF91E" w14:textId="09DC1509" w:rsidR="00DE553E" w:rsidRPr="00DE553E" w:rsidRDefault="00DE553E" w:rsidP="00DE553E">
            <w:pPr>
              <w:jc w:val="right"/>
              <w:rPr>
                <w:rFonts w:ascii="Arial" w:hAnsi="Arial" w:cs="Arial"/>
                <w:noProof/>
                <w:sz w:val="18"/>
                <w:szCs w:val="18"/>
              </w:rPr>
            </w:pPr>
            <w:r w:rsidRPr="00DE553E">
              <w:rPr>
                <w:rFonts w:ascii="Arial" w:hAnsi="Arial" w:cs="Arial"/>
                <w:sz w:val="18"/>
                <w:szCs w:val="18"/>
              </w:rPr>
              <w:t>376,928.45</w:t>
            </w:r>
          </w:p>
        </w:tc>
      </w:tr>
      <w:tr w:rsidR="00DE553E" w:rsidRPr="00DE553E" w14:paraId="620EF924" w14:textId="77777777" w:rsidTr="005C093D">
        <w:trPr>
          <w:trHeight w:val="227"/>
          <w:jc w:val="center"/>
        </w:trPr>
        <w:tc>
          <w:tcPr>
            <w:tcW w:w="5121" w:type="dxa"/>
            <w:noWrap/>
          </w:tcPr>
          <w:p w14:paraId="620EF921" w14:textId="0D800C8F" w:rsidR="00DE553E" w:rsidRPr="00DE553E" w:rsidRDefault="00DE553E" w:rsidP="00DE553E">
            <w:pPr>
              <w:rPr>
                <w:rFonts w:ascii="Arial" w:eastAsia="Times New Roman" w:hAnsi="Arial" w:cs="Arial"/>
                <w:sz w:val="18"/>
                <w:szCs w:val="18"/>
                <w:lang w:eastAsia="es-ES"/>
              </w:rPr>
            </w:pPr>
            <w:r w:rsidRPr="00DE553E">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2" w14:textId="6864F50D" w:rsidR="00DE553E" w:rsidRPr="00DE553E" w:rsidRDefault="00DE553E" w:rsidP="00DE553E">
            <w:pPr>
              <w:jc w:val="right"/>
              <w:rPr>
                <w:rFonts w:ascii="Arial" w:hAnsi="Arial" w:cs="Arial"/>
                <w:noProof/>
                <w:sz w:val="18"/>
                <w:szCs w:val="18"/>
              </w:rPr>
            </w:pPr>
            <w:r w:rsidRPr="00DE553E">
              <w:rPr>
                <w:rFonts w:ascii="Arial" w:hAnsi="Arial" w:cs="Arial"/>
                <w:sz w:val="18"/>
                <w:szCs w:val="18"/>
              </w:rPr>
              <w:t>7,832,281.83</w:t>
            </w:r>
          </w:p>
        </w:tc>
      </w:tr>
      <w:tr w:rsidR="00DE553E" w:rsidRPr="00DE553E" w14:paraId="620EF928" w14:textId="77777777" w:rsidTr="005C093D">
        <w:trPr>
          <w:trHeight w:val="227"/>
          <w:jc w:val="center"/>
        </w:trPr>
        <w:tc>
          <w:tcPr>
            <w:tcW w:w="5121" w:type="dxa"/>
            <w:noWrap/>
          </w:tcPr>
          <w:p w14:paraId="620EF925" w14:textId="0C417F36" w:rsidR="00DE553E" w:rsidRPr="00DE553E" w:rsidRDefault="00DE553E" w:rsidP="00DE553E">
            <w:pPr>
              <w:rPr>
                <w:rFonts w:ascii="Arial" w:eastAsia="Times New Roman" w:hAnsi="Arial" w:cs="Arial"/>
                <w:sz w:val="18"/>
                <w:szCs w:val="18"/>
                <w:lang w:eastAsia="es-ES"/>
              </w:rPr>
            </w:pPr>
            <w:r w:rsidRPr="00DE553E">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6" w14:textId="6B205902" w:rsidR="00DE553E" w:rsidRPr="00DE553E" w:rsidRDefault="00DE553E" w:rsidP="00DE553E">
            <w:pPr>
              <w:jc w:val="right"/>
              <w:rPr>
                <w:rFonts w:ascii="Arial" w:hAnsi="Arial" w:cs="Arial"/>
                <w:noProof/>
                <w:sz w:val="18"/>
                <w:szCs w:val="18"/>
              </w:rPr>
            </w:pPr>
            <w:r w:rsidRPr="00DE553E">
              <w:rPr>
                <w:rFonts w:ascii="Arial" w:hAnsi="Arial" w:cs="Arial"/>
                <w:sz w:val="18"/>
                <w:szCs w:val="18"/>
              </w:rPr>
              <w:t>0</w:t>
            </w:r>
            <w:r w:rsidR="003E1FD7">
              <w:rPr>
                <w:rFonts w:ascii="Arial" w:hAnsi="Arial" w:cs="Arial"/>
                <w:sz w:val="18"/>
                <w:szCs w:val="18"/>
              </w:rPr>
              <w:t>.00</w:t>
            </w:r>
          </w:p>
        </w:tc>
      </w:tr>
      <w:tr w:rsidR="00DE553E" w:rsidRPr="00DE553E" w14:paraId="620EF92C" w14:textId="77777777" w:rsidTr="005C093D">
        <w:trPr>
          <w:trHeight w:val="227"/>
          <w:jc w:val="center"/>
        </w:trPr>
        <w:tc>
          <w:tcPr>
            <w:tcW w:w="5121" w:type="dxa"/>
            <w:noWrap/>
          </w:tcPr>
          <w:p w14:paraId="620EF929" w14:textId="297E1AA0" w:rsidR="00DE553E" w:rsidRPr="00DE553E" w:rsidRDefault="00DE553E" w:rsidP="00DE553E">
            <w:pPr>
              <w:rPr>
                <w:rFonts w:ascii="Arial" w:eastAsia="Times New Roman" w:hAnsi="Arial" w:cs="Arial"/>
                <w:sz w:val="18"/>
                <w:szCs w:val="18"/>
                <w:lang w:eastAsia="es-ES"/>
              </w:rPr>
            </w:pPr>
            <w:r w:rsidRPr="00DE553E">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A" w14:textId="5477B4C0" w:rsidR="00DE553E" w:rsidRPr="00DE553E" w:rsidRDefault="00DE553E" w:rsidP="00DE553E">
            <w:pPr>
              <w:jc w:val="right"/>
              <w:rPr>
                <w:rFonts w:ascii="Arial" w:hAnsi="Arial" w:cs="Arial"/>
                <w:noProof/>
                <w:sz w:val="18"/>
                <w:szCs w:val="18"/>
              </w:rPr>
            </w:pPr>
            <w:r w:rsidRPr="00DE553E">
              <w:rPr>
                <w:rFonts w:ascii="Arial" w:hAnsi="Arial" w:cs="Arial"/>
                <w:sz w:val="18"/>
                <w:szCs w:val="18"/>
              </w:rPr>
              <w:t>0</w:t>
            </w:r>
            <w:r w:rsidR="003E1FD7">
              <w:rPr>
                <w:rFonts w:ascii="Arial" w:hAnsi="Arial" w:cs="Arial"/>
                <w:sz w:val="18"/>
                <w:szCs w:val="18"/>
              </w:rPr>
              <w:t>.00</w:t>
            </w:r>
          </w:p>
        </w:tc>
      </w:tr>
      <w:tr w:rsidR="00DE553E" w:rsidRPr="00DE553E" w14:paraId="620EF930" w14:textId="77777777" w:rsidTr="005C093D">
        <w:trPr>
          <w:trHeight w:val="227"/>
          <w:jc w:val="center"/>
        </w:trPr>
        <w:tc>
          <w:tcPr>
            <w:tcW w:w="5121" w:type="dxa"/>
            <w:noWrap/>
          </w:tcPr>
          <w:p w14:paraId="620EF92D" w14:textId="07B3CD33" w:rsidR="00DE553E" w:rsidRPr="00DE553E" w:rsidRDefault="00DE553E" w:rsidP="00DE553E">
            <w:pPr>
              <w:rPr>
                <w:rFonts w:ascii="Arial" w:eastAsia="Times New Roman" w:hAnsi="Arial" w:cs="Arial"/>
                <w:sz w:val="18"/>
                <w:szCs w:val="18"/>
                <w:lang w:eastAsia="es-ES"/>
              </w:rPr>
            </w:pPr>
            <w:r w:rsidRPr="00DE553E">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E" w14:textId="00FFC865" w:rsidR="00DE553E" w:rsidRPr="00DE553E" w:rsidRDefault="00DE553E" w:rsidP="00DE553E">
            <w:pPr>
              <w:jc w:val="right"/>
              <w:rPr>
                <w:rFonts w:ascii="Arial" w:hAnsi="Arial" w:cs="Arial"/>
                <w:noProof/>
                <w:sz w:val="18"/>
                <w:szCs w:val="18"/>
              </w:rPr>
            </w:pPr>
            <w:r w:rsidRPr="00DE553E">
              <w:rPr>
                <w:rFonts w:ascii="Arial" w:hAnsi="Arial" w:cs="Arial"/>
                <w:sz w:val="18"/>
                <w:szCs w:val="18"/>
              </w:rPr>
              <w:t>62,520,428.91</w:t>
            </w:r>
          </w:p>
        </w:tc>
      </w:tr>
      <w:tr w:rsidR="00DE553E" w:rsidRPr="00DE553E" w14:paraId="620EF934" w14:textId="77777777" w:rsidTr="005C093D">
        <w:trPr>
          <w:trHeight w:val="227"/>
          <w:jc w:val="center"/>
        </w:trPr>
        <w:tc>
          <w:tcPr>
            <w:tcW w:w="5121" w:type="dxa"/>
            <w:noWrap/>
          </w:tcPr>
          <w:p w14:paraId="620EF931" w14:textId="25A61DAF" w:rsidR="00DE553E" w:rsidRPr="00DE553E" w:rsidRDefault="00DE553E" w:rsidP="00DE553E">
            <w:pPr>
              <w:rPr>
                <w:rFonts w:ascii="Arial" w:eastAsia="Times New Roman" w:hAnsi="Arial" w:cs="Arial"/>
                <w:sz w:val="18"/>
                <w:szCs w:val="18"/>
                <w:lang w:eastAsia="es-ES"/>
              </w:rPr>
            </w:pPr>
            <w:r w:rsidRPr="00DE553E">
              <w:rPr>
                <w:rFonts w:ascii="Arial" w:hAnsi="Arial" w:cs="Arial"/>
                <w:color w:val="000000"/>
                <w:sz w:val="18"/>
                <w:szCs w:val="18"/>
              </w:rPr>
              <w:t>Devoluciones de la ley de ingresos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32" w14:textId="1F4DD277" w:rsidR="00DE553E" w:rsidRPr="00DE553E" w:rsidRDefault="00DE553E" w:rsidP="00DE553E">
            <w:pPr>
              <w:jc w:val="right"/>
              <w:rPr>
                <w:rFonts w:ascii="Arial" w:hAnsi="Arial" w:cs="Arial"/>
                <w:noProof/>
                <w:sz w:val="18"/>
                <w:szCs w:val="18"/>
              </w:rPr>
            </w:pPr>
            <w:r w:rsidRPr="00DE553E">
              <w:rPr>
                <w:rFonts w:ascii="Arial" w:hAnsi="Arial" w:cs="Arial"/>
                <w:sz w:val="18"/>
                <w:szCs w:val="18"/>
              </w:rPr>
              <w:t>0</w:t>
            </w:r>
            <w:r w:rsidR="003E1FD7">
              <w:rPr>
                <w:rFonts w:ascii="Arial" w:hAnsi="Arial" w:cs="Arial"/>
                <w:sz w:val="18"/>
                <w:szCs w:val="18"/>
              </w:rPr>
              <w:t>.00</w:t>
            </w:r>
          </w:p>
        </w:tc>
      </w:tr>
      <w:tr w:rsidR="00DE553E" w:rsidRPr="00DE553E" w14:paraId="620EF938" w14:textId="77777777" w:rsidTr="005C093D">
        <w:trPr>
          <w:trHeight w:val="227"/>
          <w:jc w:val="center"/>
        </w:trPr>
        <w:tc>
          <w:tcPr>
            <w:tcW w:w="5121" w:type="dxa"/>
            <w:noWrap/>
          </w:tcPr>
          <w:p w14:paraId="620EF935" w14:textId="0057B9FE" w:rsidR="00DE553E" w:rsidRPr="00DE553E" w:rsidRDefault="00DE553E" w:rsidP="00DE553E">
            <w:pPr>
              <w:rPr>
                <w:rFonts w:ascii="Arial" w:eastAsia="Times New Roman" w:hAnsi="Arial" w:cs="Arial"/>
                <w:sz w:val="18"/>
                <w:szCs w:val="18"/>
                <w:lang w:eastAsia="es-ES"/>
              </w:rPr>
            </w:pPr>
            <w:r w:rsidRPr="00DE553E">
              <w:rPr>
                <w:rFonts w:ascii="Arial" w:hAnsi="Arial" w:cs="Arial"/>
                <w:color w:val="000000"/>
                <w:sz w:val="18"/>
                <w:szCs w:val="18"/>
              </w:rPr>
              <w:t>Otras cuentas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36" w14:textId="153BF954" w:rsidR="00DE553E" w:rsidRPr="00DE553E" w:rsidRDefault="00DE553E" w:rsidP="00DE553E">
            <w:pPr>
              <w:jc w:val="right"/>
              <w:rPr>
                <w:rFonts w:ascii="Arial" w:hAnsi="Arial" w:cs="Arial"/>
                <w:noProof/>
                <w:sz w:val="18"/>
                <w:szCs w:val="18"/>
              </w:rPr>
            </w:pPr>
            <w:r w:rsidRPr="00DE553E">
              <w:rPr>
                <w:rFonts w:ascii="Arial" w:hAnsi="Arial" w:cs="Arial"/>
                <w:sz w:val="18"/>
                <w:szCs w:val="18"/>
              </w:rPr>
              <w:t>18,002,560.82</w:t>
            </w:r>
          </w:p>
        </w:tc>
      </w:tr>
      <w:tr w:rsidR="00DE553E" w:rsidRPr="00DE553E" w14:paraId="620EF93C" w14:textId="77777777" w:rsidTr="005C093D">
        <w:trPr>
          <w:trHeight w:val="227"/>
          <w:jc w:val="center"/>
        </w:trPr>
        <w:tc>
          <w:tcPr>
            <w:tcW w:w="5121" w:type="dxa"/>
            <w:noWrap/>
          </w:tcPr>
          <w:p w14:paraId="620EF939" w14:textId="2B127CB5" w:rsidR="00DE553E" w:rsidRPr="00DE553E" w:rsidRDefault="00DE553E" w:rsidP="00DE553E">
            <w:pPr>
              <w:rPr>
                <w:rFonts w:ascii="Arial" w:eastAsia="Times New Roman" w:hAnsi="Arial" w:cs="Arial"/>
                <w:sz w:val="18"/>
                <w:szCs w:val="18"/>
                <w:lang w:eastAsia="es-ES"/>
              </w:rPr>
            </w:pPr>
            <w:r w:rsidRPr="00DE553E">
              <w:rPr>
                <w:rFonts w:ascii="Arial" w:hAnsi="Arial" w:cs="Arial"/>
                <w:color w:val="000000"/>
                <w:sz w:val="18"/>
                <w:szCs w:val="18"/>
              </w:rPr>
              <w:t>Otras provisiones a corto plazo</w:t>
            </w:r>
          </w:p>
        </w:tc>
        <w:tc>
          <w:tcPr>
            <w:tcW w:w="1608" w:type="dxa"/>
            <w:noWrap/>
          </w:tcPr>
          <w:p w14:paraId="620EF93A" w14:textId="71BE9E6E" w:rsidR="00DE553E" w:rsidRPr="00DE553E" w:rsidRDefault="00DE553E" w:rsidP="00DE553E">
            <w:pPr>
              <w:jc w:val="right"/>
              <w:rPr>
                <w:rFonts w:ascii="Arial" w:hAnsi="Arial" w:cs="Arial"/>
                <w:noProof/>
                <w:sz w:val="18"/>
                <w:szCs w:val="18"/>
              </w:rPr>
            </w:pPr>
            <w:r w:rsidRPr="00DE553E">
              <w:rPr>
                <w:rFonts w:ascii="Arial" w:hAnsi="Arial" w:cs="Arial"/>
                <w:sz w:val="18"/>
                <w:szCs w:val="18"/>
              </w:rPr>
              <w:t>4,665,124.86</w:t>
            </w:r>
          </w:p>
        </w:tc>
      </w:tr>
      <w:tr w:rsidR="00DE553E" w:rsidRPr="00DE553E" w14:paraId="620EF940" w14:textId="77777777" w:rsidTr="005C093D">
        <w:trPr>
          <w:trHeight w:val="227"/>
          <w:jc w:val="center"/>
        </w:trPr>
        <w:tc>
          <w:tcPr>
            <w:tcW w:w="5121" w:type="dxa"/>
            <w:noWrap/>
          </w:tcPr>
          <w:p w14:paraId="620EF93D" w14:textId="6737A17E" w:rsidR="00DE553E" w:rsidRPr="00DE553E" w:rsidRDefault="00DE553E" w:rsidP="00DE553E">
            <w:pPr>
              <w:rPr>
                <w:rFonts w:ascii="Arial" w:eastAsia="Times New Roman" w:hAnsi="Arial" w:cs="Arial"/>
                <w:sz w:val="18"/>
                <w:szCs w:val="18"/>
                <w:lang w:eastAsia="es-ES"/>
              </w:rPr>
            </w:pPr>
            <w:r w:rsidRPr="00DE553E">
              <w:rPr>
                <w:rFonts w:ascii="Arial" w:hAnsi="Arial" w:cs="Arial"/>
                <w:color w:val="000000"/>
                <w:sz w:val="18"/>
                <w:szCs w:val="18"/>
              </w:rPr>
              <w:t>Ingresos por clasificar de otros ejercicios</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620EF93E" w14:textId="568A5619" w:rsidR="00DE553E" w:rsidRPr="00DE553E" w:rsidRDefault="00DE553E" w:rsidP="00DE553E">
            <w:pPr>
              <w:jc w:val="right"/>
              <w:rPr>
                <w:rFonts w:ascii="Arial" w:hAnsi="Arial" w:cs="Arial"/>
                <w:noProof/>
                <w:sz w:val="18"/>
                <w:szCs w:val="18"/>
              </w:rPr>
            </w:pPr>
            <w:r w:rsidRPr="00DE553E">
              <w:rPr>
                <w:rFonts w:ascii="Arial" w:hAnsi="Arial" w:cs="Arial"/>
                <w:sz w:val="18"/>
                <w:szCs w:val="18"/>
              </w:rPr>
              <w:t>3,678,631.32</w:t>
            </w:r>
          </w:p>
        </w:tc>
      </w:tr>
      <w:tr w:rsidR="00DE553E" w:rsidRPr="00DE553E" w14:paraId="0D2C8E7D" w14:textId="77777777" w:rsidTr="005C093D">
        <w:trPr>
          <w:trHeight w:val="227"/>
          <w:jc w:val="center"/>
        </w:trPr>
        <w:tc>
          <w:tcPr>
            <w:tcW w:w="5121" w:type="dxa"/>
            <w:noWrap/>
          </w:tcPr>
          <w:p w14:paraId="6F55B187" w14:textId="59E7A9CF" w:rsidR="00DE553E" w:rsidRPr="00DE553E" w:rsidRDefault="00DE553E" w:rsidP="00DE553E">
            <w:pPr>
              <w:rPr>
                <w:rFonts w:ascii="Arial" w:eastAsia="Times New Roman" w:hAnsi="Arial" w:cs="Arial"/>
                <w:sz w:val="18"/>
                <w:szCs w:val="18"/>
                <w:lang w:eastAsia="es-ES"/>
              </w:rPr>
            </w:pPr>
            <w:r w:rsidRPr="00DE553E">
              <w:rPr>
                <w:rFonts w:ascii="Arial" w:hAnsi="Arial" w:cs="Arial"/>
                <w:color w:val="000000"/>
                <w:sz w:val="18"/>
                <w:szCs w:val="18"/>
              </w:rPr>
              <w:t>Otros pasivos circulantes</w:t>
            </w:r>
          </w:p>
        </w:tc>
        <w:tc>
          <w:tcPr>
            <w:tcW w:w="1608" w:type="dxa"/>
            <w:tcBorders>
              <w:top w:val="nil"/>
              <w:left w:val="single" w:sz="4" w:space="0" w:color="auto"/>
              <w:bottom w:val="single" w:sz="4" w:space="0" w:color="auto"/>
              <w:right w:val="single" w:sz="4" w:space="0" w:color="auto"/>
            </w:tcBorders>
            <w:shd w:val="clear" w:color="auto" w:fill="auto"/>
            <w:noWrap/>
          </w:tcPr>
          <w:p w14:paraId="45887C68" w14:textId="2458F39E" w:rsidR="00DE553E" w:rsidRPr="00DE553E" w:rsidRDefault="00DE553E" w:rsidP="00DE553E">
            <w:pPr>
              <w:jc w:val="right"/>
              <w:rPr>
                <w:rFonts w:ascii="Arial" w:hAnsi="Arial" w:cs="Arial"/>
                <w:noProof/>
                <w:sz w:val="18"/>
                <w:szCs w:val="18"/>
              </w:rPr>
            </w:pPr>
            <w:r w:rsidRPr="00DE553E">
              <w:rPr>
                <w:rFonts w:ascii="Arial" w:hAnsi="Arial" w:cs="Arial"/>
                <w:sz w:val="18"/>
                <w:szCs w:val="18"/>
              </w:rPr>
              <w:t>755,304.33</w:t>
            </w:r>
          </w:p>
        </w:tc>
      </w:tr>
      <w:tr w:rsidR="00611646" w:rsidRPr="00DE553E" w14:paraId="620EF944" w14:textId="77777777" w:rsidTr="0046745F">
        <w:trPr>
          <w:trHeight w:val="227"/>
          <w:jc w:val="center"/>
        </w:trPr>
        <w:tc>
          <w:tcPr>
            <w:tcW w:w="5121" w:type="dxa"/>
            <w:noWrap/>
          </w:tcPr>
          <w:p w14:paraId="620EF941" w14:textId="21067149" w:rsidR="00611646" w:rsidRPr="00DE553E" w:rsidRDefault="00323DA4" w:rsidP="00611646">
            <w:pPr>
              <w:rPr>
                <w:rFonts w:ascii="Arial" w:eastAsia="Times New Roman" w:hAnsi="Arial" w:cs="Arial"/>
                <w:b/>
                <w:sz w:val="18"/>
                <w:szCs w:val="18"/>
                <w:lang w:eastAsia="es-ES"/>
              </w:rPr>
            </w:pPr>
            <w:r w:rsidRPr="00DE553E">
              <w:rPr>
                <w:rFonts w:ascii="Arial" w:eastAsia="Times New Roman" w:hAnsi="Arial" w:cs="Arial"/>
                <w:b/>
                <w:sz w:val="18"/>
                <w:szCs w:val="18"/>
                <w:lang w:eastAsia="es-ES"/>
              </w:rPr>
              <w:t>Suma</w:t>
            </w:r>
          </w:p>
        </w:tc>
        <w:tc>
          <w:tcPr>
            <w:tcW w:w="1608" w:type="dxa"/>
            <w:noWrap/>
          </w:tcPr>
          <w:p w14:paraId="620EF942" w14:textId="138F5F9D" w:rsidR="00611646" w:rsidRPr="00DE553E" w:rsidRDefault="00DE553E" w:rsidP="00611646">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97,831,260.52</w:t>
            </w:r>
            <w:r>
              <w:rPr>
                <w:rFonts w:ascii="Arial" w:hAnsi="Arial" w:cs="Arial"/>
                <w:b/>
                <w:sz w:val="18"/>
                <w:szCs w:val="18"/>
              </w:rPr>
              <w:fldChar w:fldCharType="end"/>
            </w:r>
          </w:p>
        </w:tc>
      </w:tr>
    </w:tbl>
    <w:p w14:paraId="620EF945" w14:textId="77777777" w:rsidR="00AC7F8A" w:rsidRPr="003404AB" w:rsidRDefault="00AC7F8A" w:rsidP="00AC7F8A">
      <w:pPr>
        <w:pStyle w:val="ROMANOS"/>
        <w:spacing w:after="0" w:line="240" w:lineRule="exact"/>
        <w:ind w:left="723" w:firstLine="0"/>
        <w:rPr>
          <w:b/>
          <w:lang w:val="es-MX"/>
        </w:rPr>
      </w:pPr>
    </w:p>
    <w:p w14:paraId="620EF946" w14:textId="2203D4EB" w:rsidR="00AC7F8A" w:rsidRPr="00630DB0" w:rsidRDefault="00AC7F8A" w:rsidP="00AC7F8A">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rsidR="00DB4649">
        <w:t>,</w:t>
      </w:r>
      <w:r w:rsidRPr="00C85D39">
        <w:rPr>
          <w:lang w:val="es-MX"/>
        </w:rPr>
        <w:t xml:space="preserve"> no </w:t>
      </w:r>
      <w:r w:rsidR="00343090">
        <w:rPr>
          <w:lang w:val="es-MX"/>
        </w:rPr>
        <w:t>cuenta</w:t>
      </w:r>
      <w:r w:rsidRPr="00C85D39">
        <w:rPr>
          <w:lang w:val="es-MX"/>
        </w:rPr>
        <w:t xml:space="preserve"> </w:t>
      </w:r>
      <w:r w:rsidR="001432AB">
        <w:rPr>
          <w:lang w:val="es-MX"/>
        </w:rPr>
        <w:t xml:space="preserve">con </w:t>
      </w:r>
      <w:r w:rsidRPr="00C85D39">
        <w:rPr>
          <w:lang w:val="es-MX"/>
        </w:rPr>
        <w:t>recursos en Fondos de Bienes de Terceros en Administración y/o en Garantía.</w:t>
      </w:r>
    </w:p>
    <w:p w14:paraId="620EF947" w14:textId="77777777" w:rsidR="00AC7F8A" w:rsidRDefault="00AC7F8A" w:rsidP="00AC7F8A">
      <w:pPr>
        <w:pStyle w:val="ROMANOS"/>
        <w:spacing w:after="0" w:line="240" w:lineRule="exact"/>
        <w:rPr>
          <w:lang w:val="es-MX"/>
        </w:rPr>
      </w:pPr>
      <w:r>
        <w:rPr>
          <w:lang w:val="es-MX"/>
        </w:rPr>
        <w:tab/>
      </w:r>
    </w:p>
    <w:p w14:paraId="620EF948" w14:textId="76EE1F53"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00DB4649">
        <w:t>,</w:t>
      </w:r>
      <w:r w:rsidRPr="002B3AF4">
        <w:rPr>
          <w:lang w:val="es-MX"/>
        </w:rPr>
        <w:t xml:space="preserve"> </w:t>
      </w:r>
      <w:r>
        <w:rPr>
          <w:lang w:val="es-MX"/>
        </w:rPr>
        <w:t>n</w:t>
      </w:r>
      <w:r w:rsidRPr="00483D82">
        <w:rPr>
          <w:lang w:val="es-MX"/>
        </w:rPr>
        <w:t xml:space="preserve">o </w:t>
      </w:r>
      <w:r w:rsidR="00343090">
        <w:rPr>
          <w:lang w:val="es-MX"/>
        </w:rPr>
        <w:t>registra</w:t>
      </w:r>
      <w:r w:rsidRPr="00483D82">
        <w:rPr>
          <w:lang w:val="es-MX"/>
        </w:rPr>
        <w:t xml:space="preserve"> pasivos a largo plazo</w:t>
      </w:r>
      <w:r w:rsidRPr="00630DB0">
        <w:rPr>
          <w:lang w:val="es-MX"/>
        </w:rPr>
        <w:t>.</w:t>
      </w:r>
    </w:p>
    <w:p w14:paraId="620EF949" w14:textId="77777777" w:rsidR="00AC7F8A" w:rsidRDefault="00AC7F8A" w:rsidP="00AC7F8A">
      <w:pPr>
        <w:pStyle w:val="ROMANOS"/>
        <w:spacing w:after="0" w:line="240" w:lineRule="exact"/>
        <w:ind w:left="1008" w:firstLine="0"/>
        <w:rPr>
          <w:lang w:val="es-MX"/>
        </w:rPr>
      </w:pPr>
    </w:p>
    <w:p w14:paraId="620EF94F" w14:textId="77777777" w:rsidR="00AC7F8A" w:rsidRDefault="00AC7F8A" w:rsidP="00AC7F8A">
      <w:pPr>
        <w:pStyle w:val="ROMANOS"/>
        <w:spacing w:after="0" w:line="240" w:lineRule="exact"/>
        <w:ind w:left="1008" w:firstLine="0"/>
        <w:rPr>
          <w:lang w:val="es-MX"/>
        </w:rPr>
      </w:pPr>
    </w:p>
    <w:p w14:paraId="44D797ED" w14:textId="77777777" w:rsidR="002E5ED2" w:rsidRDefault="002E5ED2" w:rsidP="00AC7F8A">
      <w:pPr>
        <w:pStyle w:val="ROMANOS"/>
        <w:spacing w:after="0" w:line="240" w:lineRule="exact"/>
        <w:ind w:left="1008" w:firstLine="0"/>
        <w:rPr>
          <w:lang w:val="es-MX"/>
        </w:rPr>
      </w:pPr>
    </w:p>
    <w:p w14:paraId="1DEC2FF3" w14:textId="4554F45A" w:rsidR="002E5ED2" w:rsidRDefault="002E5ED2" w:rsidP="00AC7F8A">
      <w:pPr>
        <w:pStyle w:val="ROMANOS"/>
        <w:spacing w:after="0" w:line="240" w:lineRule="exact"/>
        <w:ind w:left="1008" w:firstLine="0"/>
        <w:rPr>
          <w:lang w:val="es-MX"/>
        </w:rPr>
      </w:pPr>
    </w:p>
    <w:p w14:paraId="672F0D6A" w14:textId="13228ADB" w:rsidR="00DB4649" w:rsidRDefault="00DB4649" w:rsidP="00AC7F8A">
      <w:pPr>
        <w:pStyle w:val="ROMANOS"/>
        <w:spacing w:after="0" w:line="240" w:lineRule="exact"/>
        <w:ind w:left="1008" w:firstLine="0"/>
        <w:rPr>
          <w:lang w:val="es-MX"/>
        </w:rPr>
      </w:pPr>
    </w:p>
    <w:p w14:paraId="2F35A3E4" w14:textId="37DD1B60" w:rsidR="00DB4649" w:rsidRDefault="00DB4649" w:rsidP="00AC7F8A">
      <w:pPr>
        <w:pStyle w:val="ROMANOS"/>
        <w:spacing w:after="0" w:line="240" w:lineRule="exact"/>
        <w:ind w:left="1008" w:firstLine="0"/>
        <w:rPr>
          <w:lang w:val="es-MX"/>
        </w:rPr>
      </w:pPr>
    </w:p>
    <w:p w14:paraId="386FF888" w14:textId="3A9E5E43" w:rsidR="00DB4649" w:rsidRDefault="00DB4649" w:rsidP="00AC7F8A">
      <w:pPr>
        <w:pStyle w:val="ROMANOS"/>
        <w:spacing w:after="0" w:line="240" w:lineRule="exact"/>
        <w:ind w:left="1008" w:firstLine="0"/>
        <w:rPr>
          <w:lang w:val="es-MX"/>
        </w:rPr>
      </w:pPr>
    </w:p>
    <w:p w14:paraId="6892F68C" w14:textId="69093A44" w:rsidR="00DB4649" w:rsidRDefault="00DB4649" w:rsidP="00AC7F8A">
      <w:pPr>
        <w:pStyle w:val="ROMANOS"/>
        <w:spacing w:after="0" w:line="240" w:lineRule="exact"/>
        <w:ind w:left="1008" w:firstLine="0"/>
        <w:rPr>
          <w:lang w:val="es-MX"/>
        </w:rPr>
      </w:pPr>
    </w:p>
    <w:p w14:paraId="220D21A4" w14:textId="6CD0495F" w:rsidR="00DB4649" w:rsidRDefault="00DB4649" w:rsidP="00AC7F8A">
      <w:pPr>
        <w:pStyle w:val="ROMANOS"/>
        <w:spacing w:after="0" w:line="240" w:lineRule="exact"/>
        <w:ind w:left="1008" w:firstLine="0"/>
        <w:rPr>
          <w:lang w:val="es-MX"/>
        </w:rPr>
      </w:pPr>
    </w:p>
    <w:p w14:paraId="0D9BB594" w14:textId="77777777" w:rsidR="00DB4649" w:rsidRDefault="00DB4649" w:rsidP="00AC7F8A">
      <w:pPr>
        <w:pStyle w:val="ROMANOS"/>
        <w:spacing w:after="0" w:line="240" w:lineRule="exact"/>
        <w:ind w:left="1008" w:firstLine="0"/>
        <w:rPr>
          <w:lang w:val="es-MX"/>
        </w:rPr>
      </w:pPr>
    </w:p>
    <w:p w14:paraId="08F83062" w14:textId="77777777" w:rsidR="002E5ED2" w:rsidRDefault="002E5ED2" w:rsidP="00AC7F8A">
      <w:pPr>
        <w:pStyle w:val="ROMANOS"/>
        <w:spacing w:after="0" w:line="240" w:lineRule="exact"/>
        <w:ind w:left="1008" w:firstLine="0"/>
        <w:rPr>
          <w:lang w:val="es-MX"/>
        </w:rPr>
      </w:pPr>
    </w:p>
    <w:p w14:paraId="620EF950" w14:textId="77777777" w:rsidR="00AC7F8A" w:rsidRPr="00630DB0" w:rsidRDefault="00AC7F8A" w:rsidP="002E5ED2">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620EF951" w14:textId="77777777" w:rsidR="00AC7F8A" w:rsidRDefault="00AC7F8A" w:rsidP="00AC7F8A">
      <w:pPr>
        <w:pStyle w:val="INCISO"/>
        <w:spacing w:after="0" w:line="240" w:lineRule="exact"/>
        <w:ind w:left="360"/>
        <w:rPr>
          <w:b/>
          <w:smallCaps/>
        </w:rPr>
      </w:pPr>
    </w:p>
    <w:p w14:paraId="620EF954" w14:textId="77777777" w:rsidR="00AC7F8A" w:rsidRPr="00630DB0" w:rsidRDefault="00AC7F8A" w:rsidP="00AC7F8A">
      <w:pPr>
        <w:pStyle w:val="ROMANOS"/>
        <w:spacing w:after="0" w:line="240" w:lineRule="exact"/>
        <w:rPr>
          <w:b/>
          <w:lang w:val="es-MX"/>
        </w:rPr>
      </w:pPr>
      <w:r w:rsidRPr="00630DB0">
        <w:rPr>
          <w:b/>
          <w:lang w:val="es-MX"/>
        </w:rPr>
        <w:t>Ingresos de Gestión</w:t>
      </w:r>
    </w:p>
    <w:p w14:paraId="620EF955" w14:textId="50DBDE34" w:rsidR="00AC7F8A" w:rsidRDefault="00AC7F8A" w:rsidP="00AC7F8A">
      <w:pPr>
        <w:pStyle w:val="ROMANOS"/>
        <w:tabs>
          <w:tab w:val="clear" w:pos="720"/>
        </w:tabs>
        <w:spacing w:after="0" w:line="240" w:lineRule="exact"/>
        <w:ind w:left="284" w:firstLine="4"/>
        <w:rPr>
          <w:lang w:val="es-MX"/>
        </w:rPr>
      </w:pPr>
      <w:r w:rsidRPr="009711C5">
        <w:rPr>
          <w:lang w:val="es-MX"/>
        </w:rPr>
        <w:t>Los ingresos de</w:t>
      </w:r>
      <w:r w:rsidR="00032F70">
        <w:rPr>
          <w:lang w:val="es-MX"/>
        </w:rPr>
        <w:t xml:space="preserve"> la</w:t>
      </w:r>
      <w:r w:rsidRPr="009711C5">
        <w:rPr>
          <w:lang w:val="es-MX"/>
        </w:rPr>
        <w:t xml:space="preserve"> gestión de Salud en el rubro de Productos de Tipo Corriente corresponde</w:t>
      </w:r>
      <w:r w:rsidR="00D63B6F">
        <w:rPr>
          <w:lang w:val="es-MX"/>
        </w:rPr>
        <w:t>n</w:t>
      </w:r>
      <w:r w:rsidRPr="009711C5">
        <w:rPr>
          <w:lang w:val="es-MX"/>
        </w:rPr>
        <w:t xml:space="preserve"> a los rendimientos que generan las cuentas </w:t>
      </w:r>
      <w:r w:rsidRPr="00362148">
        <w:rPr>
          <w:lang w:val="es-MX"/>
        </w:rPr>
        <w:t>bancarias</w:t>
      </w:r>
      <w:r w:rsidR="00032F70">
        <w:rPr>
          <w:lang w:val="es-MX"/>
        </w:rPr>
        <w:t>;</w:t>
      </w:r>
      <w:r w:rsidR="00DC6435" w:rsidRPr="00362148">
        <w:rPr>
          <w:lang w:val="es-MX"/>
        </w:rPr>
        <w:t xml:space="preserve"> </w:t>
      </w:r>
      <w:r w:rsidR="00DC6435">
        <w:rPr>
          <w:lang w:val="es-MX"/>
        </w:rPr>
        <w:t xml:space="preserve">y </w:t>
      </w:r>
      <w:r w:rsidR="00362148" w:rsidRPr="00362148">
        <w:rPr>
          <w:lang w:val="es-MX"/>
        </w:rPr>
        <w:t>los</w:t>
      </w:r>
      <w:r w:rsidRPr="00362148">
        <w:rPr>
          <w:lang w:val="es-MX"/>
        </w:rPr>
        <w:t xml:space="preserve"> ingresos en el rubro de ventas de bienes y servicios </w:t>
      </w:r>
      <w:r w:rsidR="00CE4B46">
        <w:rPr>
          <w:lang w:val="es-MX"/>
        </w:rPr>
        <w:t>corresponden a Cuotas de Recuperación</w:t>
      </w:r>
      <w:r w:rsidR="00032F70">
        <w:rPr>
          <w:lang w:val="es-MX"/>
        </w:rPr>
        <w:t>.</w:t>
      </w:r>
    </w:p>
    <w:p w14:paraId="6BBBF4A0" w14:textId="77777777" w:rsidR="007F092B" w:rsidRDefault="007F092B" w:rsidP="00AC7F8A">
      <w:pPr>
        <w:pStyle w:val="ROMANOS"/>
        <w:tabs>
          <w:tab w:val="clear" w:pos="720"/>
        </w:tabs>
        <w:spacing w:after="0" w:line="240" w:lineRule="exact"/>
        <w:ind w:left="284" w:firstLine="4"/>
        <w:rPr>
          <w:lang w:val="es-MX"/>
        </w:rPr>
      </w:pPr>
    </w:p>
    <w:p w14:paraId="3464CE6F" w14:textId="77777777" w:rsidR="002E5ED2" w:rsidRDefault="002E5ED2" w:rsidP="00AC7F8A">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7F092B" w:rsidRPr="008F4EEA" w14:paraId="5DE42203" w14:textId="77777777" w:rsidTr="007E57C4">
        <w:trPr>
          <w:trHeight w:val="227"/>
          <w:jc w:val="center"/>
        </w:trPr>
        <w:tc>
          <w:tcPr>
            <w:tcW w:w="5121" w:type="dxa"/>
            <w:noWrap/>
          </w:tcPr>
          <w:p w14:paraId="4E02DDEB" w14:textId="77A60471" w:rsidR="007F092B" w:rsidRPr="008F4EEA" w:rsidRDefault="003E1FD7" w:rsidP="007E57C4">
            <w:pPr>
              <w:jc w:val="center"/>
              <w:rPr>
                <w:rFonts w:ascii="Arial" w:eastAsia="Times New Roman" w:hAnsi="Arial" w:cs="Arial"/>
                <w:sz w:val="18"/>
                <w:szCs w:val="18"/>
                <w:lang w:eastAsia="es-ES"/>
              </w:rPr>
            </w:pPr>
            <w:r w:rsidRPr="008F4EEA">
              <w:rPr>
                <w:rFonts w:ascii="Arial" w:eastAsia="Times New Roman" w:hAnsi="Arial" w:cs="Arial"/>
                <w:sz w:val="18"/>
                <w:szCs w:val="18"/>
                <w:lang w:eastAsia="es-ES"/>
              </w:rPr>
              <w:t>Concepto</w:t>
            </w:r>
          </w:p>
        </w:tc>
        <w:tc>
          <w:tcPr>
            <w:tcW w:w="1608" w:type="dxa"/>
            <w:noWrap/>
          </w:tcPr>
          <w:p w14:paraId="5F085650" w14:textId="21CDFC51" w:rsidR="007F092B" w:rsidRPr="008F4EEA" w:rsidRDefault="003E1FD7" w:rsidP="007E57C4">
            <w:pPr>
              <w:jc w:val="center"/>
              <w:rPr>
                <w:rFonts w:ascii="Arial" w:eastAsia="Times New Roman" w:hAnsi="Arial" w:cs="Arial"/>
                <w:sz w:val="18"/>
                <w:szCs w:val="18"/>
                <w:lang w:eastAsia="es-ES"/>
              </w:rPr>
            </w:pPr>
            <w:r w:rsidRPr="008F4EEA">
              <w:rPr>
                <w:rFonts w:ascii="Arial" w:eastAsia="Times New Roman" w:hAnsi="Arial" w:cs="Arial"/>
                <w:sz w:val="18"/>
                <w:szCs w:val="18"/>
                <w:lang w:eastAsia="es-ES"/>
              </w:rPr>
              <w:t>Importe</w:t>
            </w:r>
          </w:p>
        </w:tc>
      </w:tr>
      <w:tr w:rsidR="008F4EEA" w:rsidRPr="008F4EEA" w14:paraId="2B85EF99" w14:textId="77777777" w:rsidTr="00250686">
        <w:trPr>
          <w:trHeight w:val="227"/>
          <w:jc w:val="center"/>
        </w:trPr>
        <w:tc>
          <w:tcPr>
            <w:tcW w:w="5121" w:type="dxa"/>
            <w:noWrap/>
            <w:hideMark/>
          </w:tcPr>
          <w:p w14:paraId="13F9BCF6" w14:textId="7AA7F17F" w:rsidR="008F4EEA" w:rsidRPr="008F4EEA" w:rsidRDefault="008F4EEA" w:rsidP="008F4EEA">
            <w:pPr>
              <w:rPr>
                <w:rFonts w:ascii="Arial" w:eastAsia="Times New Roman" w:hAnsi="Arial" w:cs="Arial"/>
                <w:sz w:val="18"/>
                <w:szCs w:val="18"/>
                <w:lang w:eastAsia="es-ES"/>
              </w:rPr>
            </w:pPr>
            <w:r w:rsidRPr="008F4EEA">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shd w:val="clear" w:color="auto" w:fill="auto"/>
            <w:noWrap/>
            <w:hideMark/>
          </w:tcPr>
          <w:p w14:paraId="6ED2E41C" w14:textId="1A064BF5" w:rsidR="008F4EEA" w:rsidRPr="008F4EEA" w:rsidRDefault="00DE553E" w:rsidP="008F4EEA">
            <w:pPr>
              <w:jc w:val="right"/>
              <w:rPr>
                <w:rFonts w:ascii="Arial" w:hAnsi="Arial" w:cs="Arial"/>
                <w:noProof/>
                <w:sz w:val="18"/>
                <w:szCs w:val="18"/>
              </w:rPr>
            </w:pPr>
            <w:r w:rsidRPr="00DE553E">
              <w:rPr>
                <w:rFonts w:ascii="Arial" w:hAnsi="Arial" w:cs="Arial"/>
                <w:sz w:val="18"/>
                <w:szCs w:val="18"/>
              </w:rPr>
              <w:t>4,683,145.42</w:t>
            </w:r>
          </w:p>
        </w:tc>
      </w:tr>
      <w:tr w:rsidR="008F4EEA" w:rsidRPr="008F4EEA" w14:paraId="40B9BB93" w14:textId="77777777" w:rsidTr="00250686">
        <w:trPr>
          <w:trHeight w:val="227"/>
          <w:jc w:val="center"/>
        </w:trPr>
        <w:tc>
          <w:tcPr>
            <w:tcW w:w="5121" w:type="dxa"/>
            <w:noWrap/>
          </w:tcPr>
          <w:p w14:paraId="359CB31A" w14:textId="62D71515" w:rsidR="008F4EEA" w:rsidRPr="008F4EEA" w:rsidRDefault="008F4EEA" w:rsidP="008F4EEA">
            <w:pPr>
              <w:rPr>
                <w:rFonts w:ascii="Arial" w:eastAsia="Times New Roman" w:hAnsi="Arial" w:cs="Arial"/>
                <w:sz w:val="18"/>
                <w:szCs w:val="18"/>
                <w:lang w:eastAsia="es-ES"/>
              </w:rPr>
            </w:pPr>
            <w:r w:rsidRPr="008F4EEA">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shd w:val="clear" w:color="auto" w:fill="auto"/>
            <w:noWrap/>
          </w:tcPr>
          <w:p w14:paraId="578FBFB1" w14:textId="356C2F1F" w:rsidR="008F4EEA" w:rsidRPr="008F4EEA" w:rsidRDefault="00DE553E" w:rsidP="008F4EEA">
            <w:pPr>
              <w:jc w:val="right"/>
              <w:rPr>
                <w:rFonts w:ascii="Arial" w:hAnsi="Arial" w:cs="Arial"/>
                <w:noProof/>
                <w:sz w:val="18"/>
                <w:szCs w:val="18"/>
              </w:rPr>
            </w:pPr>
            <w:r w:rsidRPr="00DE553E">
              <w:rPr>
                <w:rFonts w:ascii="Arial" w:hAnsi="Arial" w:cs="Arial"/>
                <w:sz w:val="18"/>
                <w:szCs w:val="18"/>
              </w:rPr>
              <w:t>5,852,939.00</w:t>
            </w:r>
          </w:p>
        </w:tc>
      </w:tr>
      <w:tr w:rsidR="0011163A" w:rsidRPr="008F4EEA" w14:paraId="212DCC44" w14:textId="77777777" w:rsidTr="007E57C4">
        <w:trPr>
          <w:trHeight w:val="227"/>
          <w:jc w:val="center"/>
        </w:trPr>
        <w:tc>
          <w:tcPr>
            <w:tcW w:w="5121" w:type="dxa"/>
            <w:noWrap/>
          </w:tcPr>
          <w:p w14:paraId="6A7219ED" w14:textId="0D8EB26F" w:rsidR="0011163A" w:rsidRPr="008F4EEA" w:rsidRDefault="00323DA4" w:rsidP="0011163A">
            <w:pPr>
              <w:rPr>
                <w:rFonts w:ascii="Arial" w:eastAsia="Times New Roman" w:hAnsi="Arial" w:cs="Arial"/>
                <w:b/>
                <w:sz w:val="18"/>
                <w:szCs w:val="18"/>
                <w:lang w:eastAsia="es-ES"/>
              </w:rPr>
            </w:pPr>
            <w:r w:rsidRPr="008F4EEA">
              <w:rPr>
                <w:rFonts w:ascii="Arial" w:eastAsia="Times New Roman" w:hAnsi="Arial" w:cs="Arial"/>
                <w:b/>
                <w:sz w:val="18"/>
                <w:szCs w:val="18"/>
                <w:lang w:eastAsia="es-ES"/>
              </w:rPr>
              <w:t>Suma</w:t>
            </w:r>
          </w:p>
        </w:tc>
        <w:tc>
          <w:tcPr>
            <w:tcW w:w="1608" w:type="dxa"/>
            <w:noWrap/>
          </w:tcPr>
          <w:p w14:paraId="365976C2" w14:textId="64B155EC" w:rsidR="0011163A" w:rsidRPr="008F4EEA" w:rsidRDefault="0058693F" w:rsidP="0011163A">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10,536,084.42</w:t>
            </w:r>
            <w:r>
              <w:rPr>
                <w:rFonts w:ascii="Arial" w:hAnsi="Arial" w:cs="Arial"/>
                <w:b/>
                <w:sz w:val="18"/>
                <w:szCs w:val="18"/>
              </w:rPr>
              <w:fldChar w:fldCharType="end"/>
            </w:r>
          </w:p>
        </w:tc>
      </w:tr>
    </w:tbl>
    <w:p w14:paraId="543FABDF" w14:textId="77777777" w:rsidR="00420E80" w:rsidRDefault="00420E80" w:rsidP="00AC7F8A">
      <w:pPr>
        <w:pStyle w:val="ROMANOS"/>
        <w:tabs>
          <w:tab w:val="clear" w:pos="720"/>
        </w:tabs>
        <w:spacing w:after="0" w:line="240" w:lineRule="exact"/>
        <w:ind w:left="284" w:firstLine="4"/>
        <w:rPr>
          <w:highlight w:val="yellow"/>
          <w:lang w:val="es-MX"/>
        </w:rPr>
      </w:pPr>
    </w:p>
    <w:p w14:paraId="620EF957" w14:textId="77777777" w:rsidR="00AC7F8A" w:rsidRPr="0073056A" w:rsidRDefault="00AC7F8A" w:rsidP="00AC7F8A">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620EF958" w14:textId="31DC7597" w:rsidR="00AC7F8A" w:rsidRDefault="00467D58" w:rsidP="00AC7F8A">
      <w:pPr>
        <w:autoSpaceDE w:val="0"/>
        <w:autoSpaceDN w:val="0"/>
        <w:adjustRightInd w:val="0"/>
        <w:spacing w:after="0" w:line="240" w:lineRule="auto"/>
        <w:ind w:left="284"/>
        <w:jc w:val="both"/>
        <w:rPr>
          <w:rFonts w:ascii="Arial" w:hAnsi="Arial" w:cs="Arial"/>
          <w:sz w:val="18"/>
          <w:szCs w:val="18"/>
        </w:rPr>
      </w:pPr>
      <w:r>
        <w:rPr>
          <w:rFonts w:ascii="ArialMT" w:hAnsi="ArialMT" w:cs="ArialMT"/>
          <w:sz w:val="18"/>
          <w:szCs w:val="18"/>
          <w:lang w:val="es-ES"/>
        </w:rPr>
        <w:t>L</w:t>
      </w:r>
      <w:r w:rsidR="00AC7F8A">
        <w:rPr>
          <w:rFonts w:ascii="ArialMT" w:hAnsi="ArialMT" w:cs="ArialMT"/>
          <w:sz w:val="18"/>
          <w:szCs w:val="18"/>
          <w:lang w:val="es-ES"/>
        </w:rPr>
        <w:t xml:space="preserve">os recursos que </w:t>
      </w:r>
      <w:r w:rsidR="002E5ED2">
        <w:rPr>
          <w:rFonts w:ascii="ArialMT" w:hAnsi="ArialMT" w:cs="ArialMT"/>
          <w:sz w:val="18"/>
          <w:szCs w:val="18"/>
          <w:lang w:val="es-ES"/>
        </w:rPr>
        <w:t xml:space="preserve">se </w:t>
      </w:r>
      <w:r w:rsidR="00AC7F8A">
        <w:rPr>
          <w:rFonts w:ascii="ArialMT" w:hAnsi="ArialMT" w:cs="ArialMT"/>
          <w:sz w:val="18"/>
          <w:szCs w:val="18"/>
          <w:lang w:val="es-ES"/>
        </w:rPr>
        <w:t>recibe</w:t>
      </w:r>
      <w:r w:rsidR="002E5ED2">
        <w:rPr>
          <w:rFonts w:ascii="ArialMT" w:hAnsi="ArialMT" w:cs="ArialMT"/>
          <w:sz w:val="18"/>
          <w:szCs w:val="18"/>
          <w:lang w:val="es-ES"/>
        </w:rPr>
        <w:t>n</w:t>
      </w:r>
      <w:r w:rsidR="00AC7F8A">
        <w:rPr>
          <w:rFonts w:ascii="ArialMT" w:hAnsi="ArialMT" w:cs="ArialMT"/>
          <w:sz w:val="18"/>
          <w:szCs w:val="18"/>
          <w:lang w:val="es-ES"/>
        </w:rPr>
        <w:t xml:space="preserve"> </w:t>
      </w:r>
      <w:r w:rsidR="003C1E83">
        <w:rPr>
          <w:rFonts w:ascii="ArialMT" w:hAnsi="ArialMT" w:cs="ArialMT"/>
          <w:sz w:val="18"/>
          <w:szCs w:val="18"/>
          <w:lang w:val="es-ES"/>
        </w:rPr>
        <w:t xml:space="preserve">en </w:t>
      </w:r>
      <w:r w:rsidR="00CC4C59">
        <w:rPr>
          <w:rFonts w:ascii="ArialMT" w:hAnsi="ArialMT" w:cs="ArialMT"/>
          <w:sz w:val="18"/>
          <w:szCs w:val="18"/>
          <w:lang w:val="es-ES"/>
        </w:rPr>
        <w:t xml:space="preserve">esta </w:t>
      </w:r>
      <w:r w:rsidR="00CC4C59" w:rsidRPr="00CC4C59">
        <w:rPr>
          <w:rFonts w:ascii="Arial" w:hAnsi="Arial" w:cs="Arial"/>
          <w:color w:val="000000"/>
          <w:sz w:val="18"/>
          <w:szCs w:val="18"/>
        </w:rPr>
        <w:t>Entidad Paraestatal No Empresarial y No Financier</w:t>
      </w:r>
      <w:r w:rsidR="00CC4C59">
        <w:rPr>
          <w:rFonts w:ascii="Arial" w:hAnsi="Arial" w:cs="Arial"/>
          <w:color w:val="000000"/>
          <w:sz w:val="18"/>
          <w:szCs w:val="18"/>
        </w:rPr>
        <w:t>a</w:t>
      </w:r>
      <w:r w:rsidR="003C1E83">
        <w:rPr>
          <w:rFonts w:ascii="Arial" w:hAnsi="Arial" w:cs="Arial"/>
          <w:color w:val="000000"/>
          <w:sz w:val="18"/>
          <w:szCs w:val="18"/>
        </w:rPr>
        <w:t>,</w:t>
      </w:r>
      <w:r w:rsidR="00CC4C59">
        <w:rPr>
          <w:rFonts w:ascii="Arial" w:hAnsi="Arial" w:cs="Arial"/>
          <w:color w:val="000000"/>
          <w:sz w:val="18"/>
          <w:szCs w:val="18"/>
        </w:rPr>
        <w:t xml:space="preserve"> </w:t>
      </w:r>
      <w:r w:rsidR="00CC4C59">
        <w:rPr>
          <w:rFonts w:ascii="ArialMT" w:hAnsi="ArialMT" w:cs="ArialMT"/>
          <w:sz w:val="18"/>
          <w:szCs w:val="18"/>
          <w:lang w:val="es-ES"/>
        </w:rPr>
        <w:t>para el sostenimiento y desempeño de sus actividades</w:t>
      </w:r>
      <w:r>
        <w:rPr>
          <w:rFonts w:ascii="ArialMT" w:hAnsi="ArialMT" w:cs="ArialMT"/>
          <w:sz w:val="18"/>
          <w:szCs w:val="18"/>
          <w:lang w:val="es-ES"/>
        </w:rPr>
        <w:t xml:space="preserve">, </w:t>
      </w:r>
      <w:r w:rsidR="002E5ED2">
        <w:rPr>
          <w:rFonts w:ascii="ArialMT" w:hAnsi="ArialMT" w:cs="ArialMT"/>
          <w:sz w:val="18"/>
          <w:szCs w:val="18"/>
          <w:lang w:val="es-ES"/>
        </w:rPr>
        <w:t>se registran en</w:t>
      </w:r>
      <w:r>
        <w:rPr>
          <w:rFonts w:ascii="ArialMT" w:hAnsi="ArialMT" w:cs="ArialMT"/>
          <w:sz w:val="18"/>
          <w:szCs w:val="18"/>
          <w:lang w:val="es-ES"/>
        </w:rPr>
        <w:t xml:space="preserve"> </w:t>
      </w:r>
      <w:r w:rsidR="002E5ED2">
        <w:rPr>
          <w:rFonts w:ascii="ArialMT" w:hAnsi="ArialMT" w:cs="ArialMT"/>
          <w:sz w:val="18"/>
          <w:szCs w:val="18"/>
          <w:lang w:val="es-ES"/>
        </w:rPr>
        <w:t>e</w:t>
      </w:r>
      <w:r>
        <w:rPr>
          <w:rFonts w:ascii="ArialMT" w:hAnsi="ArialMT" w:cs="ArialMT"/>
          <w:sz w:val="18"/>
          <w:szCs w:val="18"/>
          <w:lang w:val="es-ES"/>
        </w:rPr>
        <w:t>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sidR="00CC4C59">
        <w:rPr>
          <w:rFonts w:ascii="ArialMT" w:hAnsi="ArialMT" w:cs="ArialMT"/>
          <w:sz w:val="18"/>
          <w:szCs w:val="18"/>
          <w:lang w:val="es-ES"/>
        </w:rPr>
        <w:t>.</w:t>
      </w:r>
    </w:p>
    <w:p w14:paraId="620EF959" w14:textId="77777777" w:rsidR="00AC7F8A" w:rsidRDefault="00AC7F8A" w:rsidP="00AC7F8A">
      <w:pPr>
        <w:autoSpaceDE w:val="0"/>
        <w:autoSpaceDN w:val="0"/>
        <w:adjustRightInd w:val="0"/>
        <w:spacing w:after="0" w:line="240" w:lineRule="auto"/>
        <w:ind w:left="284"/>
        <w:jc w:val="both"/>
        <w:rPr>
          <w:rFonts w:ascii="Arial" w:hAnsi="Arial" w:cs="Arial"/>
          <w:sz w:val="18"/>
          <w:szCs w:val="18"/>
        </w:rPr>
      </w:pPr>
    </w:p>
    <w:p w14:paraId="23855FBF" w14:textId="77777777" w:rsidR="00670D29" w:rsidRDefault="00670D29" w:rsidP="00AC7F8A">
      <w:pPr>
        <w:autoSpaceDE w:val="0"/>
        <w:autoSpaceDN w:val="0"/>
        <w:adjustRightInd w:val="0"/>
        <w:spacing w:after="0" w:line="240" w:lineRule="auto"/>
        <w:ind w:left="284"/>
        <w:jc w:val="both"/>
        <w:rPr>
          <w:rFonts w:ascii="Arial" w:hAnsi="Arial" w:cs="Arial"/>
          <w:sz w:val="18"/>
          <w:szCs w:val="18"/>
        </w:rPr>
      </w:pPr>
    </w:p>
    <w:tbl>
      <w:tblPr>
        <w:tblStyle w:val="Tablaconcuadrcula"/>
        <w:tblW w:w="10638" w:type="dxa"/>
        <w:jc w:val="center"/>
        <w:tblLayout w:type="fixed"/>
        <w:tblLook w:val="04A0" w:firstRow="1" w:lastRow="0" w:firstColumn="1" w:lastColumn="0" w:noHBand="0" w:noVBand="1"/>
      </w:tblPr>
      <w:tblGrid>
        <w:gridCol w:w="8500"/>
        <w:gridCol w:w="2138"/>
      </w:tblGrid>
      <w:tr w:rsidR="00863EC2" w:rsidRPr="0058693F" w14:paraId="620EF95D" w14:textId="77777777" w:rsidTr="00EB54DC">
        <w:trPr>
          <w:cantSplit/>
          <w:trHeight w:val="385"/>
          <w:tblHeader/>
          <w:jc w:val="center"/>
        </w:trPr>
        <w:tc>
          <w:tcPr>
            <w:tcW w:w="8500" w:type="dxa"/>
            <w:hideMark/>
          </w:tcPr>
          <w:p w14:paraId="620EF95A" w14:textId="62062748" w:rsidR="00863EC2" w:rsidRPr="0058693F" w:rsidRDefault="003E1FD7" w:rsidP="00AD6257">
            <w:pPr>
              <w:jc w:val="center"/>
              <w:rPr>
                <w:rFonts w:ascii="Arial" w:eastAsia="Times New Roman" w:hAnsi="Arial" w:cs="Arial"/>
                <w:color w:val="000000"/>
                <w:sz w:val="18"/>
                <w:szCs w:val="18"/>
                <w:lang w:val="es-ES" w:eastAsia="es-ES"/>
              </w:rPr>
            </w:pPr>
            <w:r w:rsidRPr="0058693F">
              <w:rPr>
                <w:rFonts w:ascii="Arial" w:eastAsia="Times New Roman" w:hAnsi="Arial" w:cs="Arial"/>
                <w:color w:val="000000"/>
                <w:sz w:val="18"/>
                <w:szCs w:val="18"/>
                <w:lang w:val="es-ES" w:eastAsia="es-ES"/>
              </w:rPr>
              <w:t>Concepto</w:t>
            </w:r>
          </w:p>
        </w:tc>
        <w:tc>
          <w:tcPr>
            <w:tcW w:w="2138" w:type="dxa"/>
            <w:hideMark/>
          </w:tcPr>
          <w:p w14:paraId="620EF95B" w14:textId="0FB79D05" w:rsidR="00863EC2" w:rsidRPr="0058693F" w:rsidRDefault="003E1FD7" w:rsidP="00AD6257">
            <w:pPr>
              <w:jc w:val="center"/>
              <w:rPr>
                <w:rFonts w:ascii="Arial" w:eastAsia="Times New Roman" w:hAnsi="Arial" w:cs="Arial"/>
                <w:color w:val="000000"/>
                <w:sz w:val="18"/>
                <w:szCs w:val="18"/>
                <w:lang w:val="es-ES" w:eastAsia="es-ES"/>
              </w:rPr>
            </w:pPr>
            <w:r w:rsidRPr="0058693F">
              <w:rPr>
                <w:rFonts w:ascii="Arial" w:eastAsia="Times New Roman" w:hAnsi="Arial" w:cs="Arial"/>
                <w:color w:val="000000"/>
                <w:sz w:val="18"/>
                <w:szCs w:val="18"/>
                <w:lang w:val="es-ES" w:eastAsia="es-ES"/>
              </w:rPr>
              <w:t>Monto devengado</w:t>
            </w:r>
          </w:p>
        </w:tc>
      </w:tr>
      <w:tr w:rsidR="0058693F" w:rsidRPr="0058693F" w14:paraId="620EF961" w14:textId="77777777" w:rsidTr="0058693F">
        <w:trPr>
          <w:trHeight w:val="227"/>
          <w:jc w:val="center"/>
        </w:trPr>
        <w:tc>
          <w:tcPr>
            <w:tcW w:w="8500" w:type="dxa"/>
          </w:tcPr>
          <w:p w14:paraId="620EF95E" w14:textId="7F9B2BD9" w:rsidR="0058693F" w:rsidRPr="0058693F" w:rsidRDefault="0058693F" w:rsidP="0058693F">
            <w:pPr>
              <w:rPr>
                <w:rFonts w:ascii="Arial" w:hAnsi="Arial" w:cs="Arial"/>
                <w:sz w:val="18"/>
                <w:szCs w:val="18"/>
              </w:rPr>
            </w:pPr>
            <w:r w:rsidRPr="0058693F">
              <w:rPr>
                <w:rFonts w:ascii="Arial" w:hAnsi="Arial" w:cs="Arial"/>
                <w:sz w:val="18"/>
                <w:szCs w:val="18"/>
              </w:rPr>
              <w:t>Fondo general de participaciones (servicios personales)</w:t>
            </w:r>
          </w:p>
        </w:tc>
        <w:tc>
          <w:tcPr>
            <w:tcW w:w="2138" w:type="dxa"/>
            <w:shd w:val="clear" w:color="auto" w:fill="auto"/>
            <w:vAlign w:val="bottom"/>
          </w:tcPr>
          <w:p w14:paraId="620EF95F" w14:textId="61E75FCB" w:rsidR="0058693F" w:rsidRPr="0058693F" w:rsidRDefault="0058693F" w:rsidP="0058693F">
            <w:pPr>
              <w:jc w:val="right"/>
              <w:rPr>
                <w:rFonts w:ascii="Arial" w:hAnsi="Arial" w:cs="Arial"/>
                <w:noProof/>
                <w:sz w:val="18"/>
                <w:szCs w:val="18"/>
              </w:rPr>
            </w:pPr>
            <w:r w:rsidRPr="0058693F">
              <w:rPr>
                <w:rFonts w:ascii="Arial" w:hAnsi="Arial" w:cs="Arial"/>
                <w:color w:val="000000"/>
                <w:sz w:val="18"/>
                <w:szCs w:val="18"/>
              </w:rPr>
              <w:t>74,551,609.00</w:t>
            </w:r>
          </w:p>
        </w:tc>
      </w:tr>
      <w:tr w:rsidR="0058693F" w:rsidRPr="0058693F" w14:paraId="7F8601AA" w14:textId="77777777" w:rsidTr="0058693F">
        <w:trPr>
          <w:trHeight w:val="227"/>
          <w:jc w:val="center"/>
        </w:trPr>
        <w:tc>
          <w:tcPr>
            <w:tcW w:w="8500" w:type="dxa"/>
          </w:tcPr>
          <w:p w14:paraId="4B7079B7" w14:textId="2FB2303D" w:rsidR="0058693F" w:rsidRPr="0058693F" w:rsidRDefault="0058693F" w:rsidP="0058693F">
            <w:pPr>
              <w:rPr>
                <w:rFonts w:ascii="Arial" w:hAnsi="Arial" w:cs="Arial"/>
                <w:sz w:val="18"/>
                <w:szCs w:val="18"/>
              </w:rPr>
            </w:pPr>
            <w:r w:rsidRPr="0058693F">
              <w:rPr>
                <w:rFonts w:ascii="Arial" w:hAnsi="Arial" w:cs="Arial"/>
                <w:sz w:val="18"/>
                <w:szCs w:val="18"/>
              </w:rPr>
              <w:t>Fondo del impuesto sobre renta</w:t>
            </w:r>
          </w:p>
        </w:tc>
        <w:tc>
          <w:tcPr>
            <w:tcW w:w="2138" w:type="dxa"/>
            <w:shd w:val="clear" w:color="auto" w:fill="auto"/>
            <w:vAlign w:val="bottom"/>
          </w:tcPr>
          <w:p w14:paraId="34FA406A" w14:textId="79195AD0" w:rsidR="0058693F" w:rsidRPr="0058693F" w:rsidRDefault="0058693F" w:rsidP="0058693F">
            <w:pPr>
              <w:jc w:val="right"/>
              <w:rPr>
                <w:rFonts w:ascii="Arial" w:hAnsi="Arial" w:cs="Arial"/>
                <w:noProof/>
                <w:sz w:val="18"/>
                <w:szCs w:val="18"/>
              </w:rPr>
            </w:pPr>
            <w:r w:rsidRPr="0058693F">
              <w:rPr>
                <w:rFonts w:ascii="Arial" w:hAnsi="Arial" w:cs="Arial"/>
                <w:color w:val="000000"/>
                <w:sz w:val="18"/>
                <w:szCs w:val="18"/>
              </w:rPr>
              <w:t>357,069,058.30</w:t>
            </w:r>
          </w:p>
        </w:tc>
      </w:tr>
      <w:tr w:rsidR="0058693F" w:rsidRPr="0058693F" w14:paraId="060891DB" w14:textId="77777777" w:rsidTr="0058693F">
        <w:trPr>
          <w:trHeight w:val="227"/>
          <w:jc w:val="center"/>
        </w:trPr>
        <w:tc>
          <w:tcPr>
            <w:tcW w:w="8500" w:type="dxa"/>
          </w:tcPr>
          <w:p w14:paraId="6E821FD2" w14:textId="0CEF1DC8" w:rsidR="0058693F" w:rsidRPr="0058693F" w:rsidRDefault="0058693F" w:rsidP="0058693F">
            <w:pPr>
              <w:rPr>
                <w:rFonts w:ascii="Arial" w:hAnsi="Arial" w:cs="Arial"/>
                <w:sz w:val="18"/>
                <w:szCs w:val="18"/>
              </w:rPr>
            </w:pPr>
            <w:r w:rsidRPr="0058693F">
              <w:rPr>
                <w:rFonts w:ascii="Arial" w:hAnsi="Arial" w:cs="Arial"/>
                <w:sz w:val="18"/>
                <w:szCs w:val="18"/>
              </w:rPr>
              <w:t>Participaciones derivadas de ingresos locales (capital)</w:t>
            </w:r>
          </w:p>
        </w:tc>
        <w:tc>
          <w:tcPr>
            <w:tcW w:w="2138" w:type="dxa"/>
            <w:shd w:val="clear" w:color="auto" w:fill="auto"/>
            <w:vAlign w:val="bottom"/>
          </w:tcPr>
          <w:p w14:paraId="110BA012" w14:textId="7A8FBE58" w:rsidR="0058693F" w:rsidRPr="0058693F" w:rsidRDefault="0058693F" w:rsidP="0058693F">
            <w:pPr>
              <w:jc w:val="right"/>
              <w:rPr>
                <w:rFonts w:ascii="Arial" w:hAnsi="Arial" w:cs="Arial"/>
                <w:noProof/>
                <w:sz w:val="18"/>
                <w:szCs w:val="18"/>
              </w:rPr>
            </w:pPr>
            <w:r w:rsidRPr="0058693F">
              <w:rPr>
                <w:rFonts w:ascii="Arial" w:hAnsi="Arial" w:cs="Arial"/>
                <w:color w:val="000000"/>
                <w:sz w:val="18"/>
                <w:szCs w:val="18"/>
              </w:rPr>
              <w:t>168,641,940.80</w:t>
            </w:r>
          </w:p>
        </w:tc>
      </w:tr>
      <w:tr w:rsidR="0058693F" w:rsidRPr="0058693F" w14:paraId="568A6E75" w14:textId="77777777" w:rsidTr="0058693F">
        <w:trPr>
          <w:trHeight w:val="227"/>
          <w:jc w:val="center"/>
        </w:trPr>
        <w:tc>
          <w:tcPr>
            <w:tcW w:w="8500" w:type="dxa"/>
          </w:tcPr>
          <w:p w14:paraId="60A9E10D" w14:textId="73F2E7D0" w:rsidR="0058693F" w:rsidRPr="0058693F" w:rsidRDefault="0058693F" w:rsidP="0058693F">
            <w:pPr>
              <w:rPr>
                <w:rFonts w:ascii="Arial" w:hAnsi="Arial" w:cs="Arial"/>
                <w:sz w:val="18"/>
                <w:szCs w:val="18"/>
              </w:rPr>
            </w:pPr>
            <w:r w:rsidRPr="0058693F">
              <w:rPr>
                <w:rFonts w:ascii="Arial" w:hAnsi="Arial" w:cs="Arial"/>
                <w:sz w:val="18"/>
                <w:szCs w:val="18"/>
              </w:rPr>
              <w:t>Fondo general de participaciones (gasto operación)</w:t>
            </w:r>
          </w:p>
        </w:tc>
        <w:tc>
          <w:tcPr>
            <w:tcW w:w="2138" w:type="dxa"/>
            <w:shd w:val="clear" w:color="auto" w:fill="auto"/>
            <w:vAlign w:val="bottom"/>
          </w:tcPr>
          <w:p w14:paraId="702BACA0" w14:textId="71D3736C" w:rsidR="0058693F" w:rsidRPr="0058693F" w:rsidRDefault="0058693F" w:rsidP="0058693F">
            <w:pPr>
              <w:jc w:val="right"/>
              <w:rPr>
                <w:rFonts w:ascii="Arial" w:hAnsi="Arial" w:cs="Arial"/>
                <w:noProof/>
                <w:sz w:val="18"/>
                <w:szCs w:val="18"/>
              </w:rPr>
            </w:pPr>
            <w:r w:rsidRPr="0058693F">
              <w:rPr>
                <w:rFonts w:ascii="Arial" w:hAnsi="Arial" w:cs="Arial"/>
                <w:color w:val="000000"/>
                <w:sz w:val="18"/>
                <w:szCs w:val="18"/>
              </w:rPr>
              <w:t>69,071,619.76</w:t>
            </w:r>
          </w:p>
        </w:tc>
      </w:tr>
      <w:tr w:rsidR="0058693F" w:rsidRPr="0058693F" w14:paraId="46D96E55" w14:textId="77777777" w:rsidTr="0058693F">
        <w:trPr>
          <w:trHeight w:val="227"/>
          <w:jc w:val="center"/>
        </w:trPr>
        <w:tc>
          <w:tcPr>
            <w:tcW w:w="8500" w:type="dxa"/>
          </w:tcPr>
          <w:p w14:paraId="2CCF19BC" w14:textId="1846C563" w:rsidR="0058693F" w:rsidRPr="0058693F" w:rsidRDefault="0058693F" w:rsidP="0058693F">
            <w:pPr>
              <w:rPr>
                <w:rFonts w:ascii="Arial" w:hAnsi="Arial" w:cs="Arial"/>
                <w:sz w:val="18"/>
                <w:szCs w:val="18"/>
              </w:rPr>
            </w:pPr>
            <w:r w:rsidRPr="0058693F">
              <w:rPr>
                <w:rFonts w:ascii="Arial" w:hAnsi="Arial" w:cs="Arial"/>
                <w:sz w:val="18"/>
                <w:szCs w:val="18"/>
              </w:rPr>
              <w:t>Fondo de compensación</w:t>
            </w:r>
          </w:p>
        </w:tc>
        <w:tc>
          <w:tcPr>
            <w:tcW w:w="2138" w:type="dxa"/>
            <w:shd w:val="clear" w:color="auto" w:fill="auto"/>
            <w:vAlign w:val="bottom"/>
          </w:tcPr>
          <w:p w14:paraId="201AFFF0" w14:textId="104507F5" w:rsidR="0058693F" w:rsidRPr="0058693F" w:rsidRDefault="0058693F" w:rsidP="0058693F">
            <w:pPr>
              <w:jc w:val="right"/>
              <w:rPr>
                <w:rFonts w:ascii="Arial" w:hAnsi="Arial" w:cs="Arial"/>
                <w:noProof/>
                <w:sz w:val="18"/>
                <w:szCs w:val="18"/>
              </w:rPr>
            </w:pPr>
            <w:r w:rsidRPr="0058693F">
              <w:rPr>
                <w:rFonts w:ascii="Arial" w:hAnsi="Arial" w:cs="Arial"/>
                <w:color w:val="000000"/>
                <w:sz w:val="18"/>
                <w:szCs w:val="18"/>
              </w:rPr>
              <w:t>99,788,054.50</w:t>
            </w:r>
          </w:p>
        </w:tc>
      </w:tr>
      <w:tr w:rsidR="0058693F" w:rsidRPr="0058693F" w14:paraId="08B77515" w14:textId="77777777" w:rsidTr="0058693F">
        <w:trPr>
          <w:trHeight w:val="227"/>
          <w:jc w:val="center"/>
        </w:trPr>
        <w:tc>
          <w:tcPr>
            <w:tcW w:w="8500" w:type="dxa"/>
          </w:tcPr>
          <w:p w14:paraId="06975E76" w14:textId="3321BA95" w:rsidR="0058693F" w:rsidRPr="0058693F" w:rsidRDefault="0058693F" w:rsidP="0058693F">
            <w:pPr>
              <w:rPr>
                <w:rFonts w:ascii="Arial" w:hAnsi="Arial" w:cs="Arial"/>
                <w:sz w:val="18"/>
                <w:szCs w:val="18"/>
              </w:rPr>
            </w:pPr>
            <w:r w:rsidRPr="0058693F">
              <w:rPr>
                <w:rFonts w:ascii="Arial" w:hAnsi="Arial" w:cs="Arial"/>
                <w:sz w:val="18"/>
                <w:szCs w:val="18"/>
              </w:rPr>
              <w:t>Impuesto especial sobre producción y servicios (IEPS)</w:t>
            </w:r>
          </w:p>
        </w:tc>
        <w:tc>
          <w:tcPr>
            <w:tcW w:w="2138" w:type="dxa"/>
            <w:shd w:val="clear" w:color="auto" w:fill="auto"/>
            <w:vAlign w:val="bottom"/>
          </w:tcPr>
          <w:p w14:paraId="780F9441" w14:textId="47855D59" w:rsidR="0058693F" w:rsidRPr="0058693F" w:rsidRDefault="0058693F" w:rsidP="0058693F">
            <w:pPr>
              <w:jc w:val="right"/>
              <w:rPr>
                <w:rFonts w:ascii="Arial" w:hAnsi="Arial" w:cs="Arial"/>
                <w:noProof/>
                <w:sz w:val="18"/>
                <w:szCs w:val="18"/>
              </w:rPr>
            </w:pPr>
            <w:r w:rsidRPr="0058693F">
              <w:rPr>
                <w:rFonts w:ascii="Arial" w:hAnsi="Arial" w:cs="Arial"/>
                <w:color w:val="000000"/>
                <w:sz w:val="18"/>
                <w:szCs w:val="18"/>
              </w:rPr>
              <w:t>9,880,277.20</w:t>
            </w:r>
          </w:p>
        </w:tc>
      </w:tr>
      <w:tr w:rsidR="0058693F" w:rsidRPr="0058693F" w14:paraId="78FDD0D9" w14:textId="77777777" w:rsidTr="0058693F">
        <w:trPr>
          <w:trHeight w:val="227"/>
          <w:jc w:val="center"/>
        </w:trPr>
        <w:tc>
          <w:tcPr>
            <w:tcW w:w="8500" w:type="dxa"/>
          </w:tcPr>
          <w:p w14:paraId="6056C1C6" w14:textId="206F7FFA" w:rsidR="0058693F" w:rsidRPr="0058693F" w:rsidRDefault="0058693F" w:rsidP="0058693F">
            <w:pPr>
              <w:rPr>
                <w:rFonts w:ascii="Arial" w:hAnsi="Arial" w:cs="Arial"/>
                <w:sz w:val="18"/>
                <w:szCs w:val="18"/>
              </w:rPr>
            </w:pPr>
            <w:r w:rsidRPr="0058693F">
              <w:rPr>
                <w:rFonts w:ascii="Arial" w:hAnsi="Arial" w:cs="Arial"/>
                <w:sz w:val="18"/>
                <w:szCs w:val="18"/>
              </w:rPr>
              <w:t>Incentivos derivados de colaboración fiscal</w:t>
            </w:r>
          </w:p>
        </w:tc>
        <w:tc>
          <w:tcPr>
            <w:tcW w:w="2138" w:type="dxa"/>
            <w:shd w:val="clear" w:color="auto" w:fill="auto"/>
            <w:vAlign w:val="bottom"/>
          </w:tcPr>
          <w:p w14:paraId="7B54A2FD" w14:textId="551ED54A"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22,902,798.44</w:t>
            </w:r>
          </w:p>
        </w:tc>
      </w:tr>
      <w:tr w:rsidR="0058693F" w:rsidRPr="0058693F" w14:paraId="43D0AA26" w14:textId="77777777" w:rsidTr="0058693F">
        <w:trPr>
          <w:trHeight w:val="227"/>
          <w:jc w:val="center"/>
        </w:trPr>
        <w:tc>
          <w:tcPr>
            <w:tcW w:w="8500" w:type="dxa"/>
          </w:tcPr>
          <w:p w14:paraId="52A51090" w14:textId="26E092F4" w:rsidR="0058693F" w:rsidRPr="0058693F" w:rsidRDefault="0058693F" w:rsidP="0058693F">
            <w:pPr>
              <w:rPr>
                <w:rFonts w:ascii="Arial" w:hAnsi="Arial" w:cs="Arial"/>
                <w:sz w:val="18"/>
                <w:szCs w:val="18"/>
              </w:rPr>
            </w:pPr>
            <w:r w:rsidRPr="0058693F">
              <w:rPr>
                <w:rFonts w:ascii="Arial" w:hAnsi="Arial" w:cs="Arial"/>
                <w:sz w:val="18"/>
                <w:szCs w:val="18"/>
              </w:rPr>
              <w:t>Incentivo para venta final de gasolina y Diesel</w:t>
            </w:r>
          </w:p>
        </w:tc>
        <w:tc>
          <w:tcPr>
            <w:tcW w:w="2138" w:type="dxa"/>
            <w:shd w:val="clear" w:color="auto" w:fill="auto"/>
            <w:vAlign w:val="bottom"/>
          </w:tcPr>
          <w:p w14:paraId="21794173" w14:textId="02B7A5FB"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52,540,659.99</w:t>
            </w:r>
          </w:p>
        </w:tc>
      </w:tr>
      <w:tr w:rsidR="0058693F" w:rsidRPr="0058693F" w14:paraId="09696C67" w14:textId="77777777" w:rsidTr="0058693F">
        <w:trPr>
          <w:trHeight w:val="227"/>
          <w:jc w:val="center"/>
        </w:trPr>
        <w:tc>
          <w:tcPr>
            <w:tcW w:w="8500" w:type="dxa"/>
          </w:tcPr>
          <w:p w14:paraId="40D004D4" w14:textId="06F8AEE5" w:rsidR="0058693F" w:rsidRPr="0058693F" w:rsidRDefault="0058693F" w:rsidP="0058693F">
            <w:pPr>
              <w:rPr>
                <w:rFonts w:ascii="Arial" w:hAnsi="Arial" w:cs="Arial"/>
                <w:sz w:val="18"/>
                <w:szCs w:val="18"/>
              </w:rPr>
            </w:pPr>
            <w:r w:rsidRPr="0058693F">
              <w:rPr>
                <w:rFonts w:ascii="Arial" w:hAnsi="Arial" w:cs="Arial"/>
                <w:sz w:val="18"/>
                <w:szCs w:val="18"/>
              </w:rPr>
              <w:t>Fondo de fiscalización</w:t>
            </w:r>
          </w:p>
        </w:tc>
        <w:tc>
          <w:tcPr>
            <w:tcW w:w="2138" w:type="dxa"/>
            <w:shd w:val="clear" w:color="auto" w:fill="auto"/>
            <w:vAlign w:val="bottom"/>
          </w:tcPr>
          <w:p w14:paraId="075600CD" w14:textId="4491361D"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52,848,429.69</w:t>
            </w:r>
          </w:p>
        </w:tc>
      </w:tr>
      <w:tr w:rsidR="0058693F" w:rsidRPr="0058693F" w14:paraId="63D8BC92" w14:textId="77777777" w:rsidTr="0058693F">
        <w:trPr>
          <w:trHeight w:val="227"/>
          <w:jc w:val="center"/>
        </w:trPr>
        <w:tc>
          <w:tcPr>
            <w:tcW w:w="8500" w:type="dxa"/>
          </w:tcPr>
          <w:p w14:paraId="171389AA" w14:textId="6A3173DE" w:rsidR="0058693F" w:rsidRPr="0058693F" w:rsidRDefault="0058693F" w:rsidP="0058693F">
            <w:pPr>
              <w:rPr>
                <w:rFonts w:ascii="Arial" w:hAnsi="Arial" w:cs="Arial"/>
                <w:sz w:val="18"/>
                <w:szCs w:val="18"/>
              </w:rPr>
            </w:pPr>
            <w:r w:rsidRPr="0058693F">
              <w:rPr>
                <w:rFonts w:ascii="Arial" w:hAnsi="Arial" w:cs="Arial"/>
                <w:sz w:val="18"/>
                <w:szCs w:val="18"/>
              </w:rPr>
              <w:t>Fondo de compensación ISAN</w:t>
            </w:r>
          </w:p>
        </w:tc>
        <w:tc>
          <w:tcPr>
            <w:tcW w:w="2138" w:type="dxa"/>
            <w:shd w:val="clear" w:color="auto" w:fill="auto"/>
            <w:vAlign w:val="bottom"/>
          </w:tcPr>
          <w:p w14:paraId="6394F06F" w14:textId="540674C5"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3,665,615.00</w:t>
            </w:r>
          </w:p>
        </w:tc>
      </w:tr>
      <w:tr w:rsidR="0058693F" w:rsidRPr="0058693F" w14:paraId="6C5BEB69" w14:textId="77777777" w:rsidTr="0058693F">
        <w:trPr>
          <w:trHeight w:val="227"/>
          <w:jc w:val="center"/>
        </w:trPr>
        <w:tc>
          <w:tcPr>
            <w:tcW w:w="8500" w:type="dxa"/>
          </w:tcPr>
          <w:p w14:paraId="205FCC4E" w14:textId="00C35C52" w:rsidR="0058693F" w:rsidRPr="0058693F" w:rsidRDefault="0058693F" w:rsidP="0058693F">
            <w:pPr>
              <w:rPr>
                <w:rFonts w:ascii="Arial" w:hAnsi="Arial" w:cs="Arial"/>
                <w:sz w:val="18"/>
                <w:szCs w:val="18"/>
              </w:rPr>
            </w:pPr>
            <w:r w:rsidRPr="0058693F">
              <w:rPr>
                <w:rFonts w:ascii="Arial" w:hAnsi="Arial" w:cs="Arial"/>
                <w:sz w:val="18"/>
                <w:szCs w:val="18"/>
              </w:rPr>
              <w:t>Fondo general de participaciones (FEIEF) gasto operación</w:t>
            </w:r>
          </w:p>
        </w:tc>
        <w:tc>
          <w:tcPr>
            <w:tcW w:w="2138" w:type="dxa"/>
            <w:shd w:val="clear" w:color="auto" w:fill="auto"/>
            <w:vAlign w:val="bottom"/>
          </w:tcPr>
          <w:p w14:paraId="162D8BE1" w14:textId="0BA38637"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15,000,000.00</w:t>
            </w:r>
          </w:p>
        </w:tc>
      </w:tr>
      <w:tr w:rsidR="0058693F" w:rsidRPr="0058693F" w14:paraId="605CBFFC" w14:textId="77777777" w:rsidTr="0058693F">
        <w:trPr>
          <w:trHeight w:val="227"/>
          <w:jc w:val="center"/>
        </w:trPr>
        <w:tc>
          <w:tcPr>
            <w:tcW w:w="8500" w:type="dxa"/>
          </w:tcPr>
          <w:p w14:paraId="4AD4B69A" w14:textId="1A37773E" w:rsidR="0058693F" w:rsidRPr="0058693F" w:rsidRDefault="0058693F" w:rsidP="0058693F">
            <w:pPr>
              <w:rPr>
                <w:rFonts w:ascii="Arial" w:hAnsi="Arial" w:cs="Arial"/>
                <w:sz w:val="18"/>
                <w:szCs w:val="18"/>
              </w:rPr>
            </w:pPr>
            <w:r w:rsidRPr="0058693F">
              <w:rPr>
                <w:rFonts w:ascii="Arial" w:hAnsi="Arial" w:cs="Arial"/>
                <w:sz w:val="18"/>
                <w:szCs w:val="18"/>
              </w:rPr>
              <w:t>Fondo REPECOS e intermedios</w:t>
            </w:r>
          </w:p>
        </w:tc>
        <w:tc>
          <w:tcPr>
            <w:tcW w:w="2138" w:type="dxa"/>
            <w:shd w:val="clear" w:color="auto" w:fill="auto"/>
            <w:vAlign w:val="bottom"/>
          </w:tcPr>
          <w:p w14:paraId="5D6E0258" w14:textId="67504077"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1,212,753.00</w:t>
            </w:r>
          </w:p>
        </w:tc>
      </w:tr>
      <w:tr w:rsidR="0058693F" w:rsidRPr="0058693F" w14:paraId="5EF575D4" w14:textId="77777777" w:rsidTr="0058693F">
        <w:trPr>
          <w:trHeight w:val="227"/>
          <w:jc w:val="center"/>
        </w:trPr>
        <w:tc>
          <w:tcPr>
            <w:tcW w:w="8500" w:type="dxa"/>
          </w:tcPr>
          <w:p w14:paraId="1215A77B" w14:textId="085ED894" w:rsidR="0058693F" w:rsidRPr="0058693F" w:rsidRDefault="0058693F" w:rsidP="0058693F">
            <w:pPr>
              <w:rPr>
                <w:rFonts w:ascii="Arial" w:hAnsi="Arial" w:cs="Arial"/>
                <w:sz w:val="18"/>
                <w:szCs w:val="18"/>
              </w:rPr>
            </w:pPr>
            <w:r w:rsidRPr="0058693F">
              <w:rPr>
                <w:rFonts w:ascii="Arial" w:hAnsi="Arial" w:cs="Arial"/>
                <w:sz w:val="18"/>
                <w:szCs w:val="18"/>
              </w:rPr>
              <w:t>Participaciones derivadas de ingresos locales (rendimientos)</w:t>
            </w:r>
          </w:p>
        </w:tc>
        <w:tc>
          <w:tcPr>
            <w:tcW w:w="2138" w:type="dxa"/>
            <w:shd w:val="clear" w:color="auto" w:fill="auto"/>
            <w:vAlign w:val="bottom"/>
          </w:tcPr>
          <w:p w14:paraId="63C6DC11" w14:textId="21404DE7"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18,235,043.80</w:t>
            </w:r>
          </w:p>
        </w:tc>
      </w:tr>
      <w:tr w:rsidR="0058693F" w:rsidRPr="0058693F" w14:paraId="162E0B2B" w14:textId="77777777" w:rsidTr="0058693F">
        <w:trPr>
          <w:trHeight w:val="227"/>
          <w:jc w:val="center"/>
        </w:trPr>
        <w:tc>
          <w:tcPr>
            <w:tcW w:w="8500" w:type="dxa"/>
          </w:tcPr>
          <w:p w14:paraId="04749344" w14:textId="46B6234C" w:rsidR="0058693F" w:rsidRPr="0058693F" w:rsidRDefault="0058693F" w:rsidP="0058693F">
            <w:pPr>
              <w:rPr>
                <w:rFonts w:ascii="Arial" w:hAnsi="Arial" w:cs="Arial"/>
                <w:sz w:val="18"/>
                <w:szCs w:val="18"/>
              </w:rPr>
            </w:pPr>
            <w:r w:rsidRPr="0058693F">
              <w:rPr>
                <w:rFonts w:ascii="Arial" w:hAnsi="Arial" w:cs="Arial"/>
                <w:sz w:val="18"/>
                <w:szCs w:val="18"/>
              </w:rPr>
              <w:t>Fondo de aportaciones para los servicios de salud (servicios personales)</w:t>
            </w:r>
          </w:p>
        </w:tc>
        <w:tc>
          <w:tcPr>
            <w:tcW w:w="2138" w:type="dxa"/>
            <w:shd w:val="clear" w:color="auto" w:fill="auto"/>
            <w:vAlign w:val="bottom"/>
          </w:tcPr>
          <w:p w14:paraId="0742511A" w14:textId="0A1D858E"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1,090,703,666.58</w:t>
            </w:r>
          </w:p>
        </w:tc>
      </w:tr>
      <w:tr w:rsidR="0058693F" w:rsidRPr="0058693F" w14:paraId="0383E277" w14:textId="77777777" w:rsidTr="0058693F">
        <w:trPr>
          <w:trHeight w:val="227"/>
          <w:jc w:val="center"/>
        </w:trPr>
        <w:tc>
          <w:tcPr>
            <w:tcW w:w="8500" w:type="dxa"/>
          </w:tcPr>
          <w:p w14:paraId="2473860D" w14:textId="02ABB22E" w:rsidR="0058693F" w:rsidRPr="0058693F" w:rsidRDefault="0058693F" w:rsidP="0058693F">
            <w:pPr>
              <w:rPr>
                <w:rFonts w:ascii="Arial" w:hAnsi="Arial" w:cs="Arial"/>
                <w:sz w:val="18"/>
                <w:szCs w:val="18"/>
              </w:rPr>
            </w:pPr>
            <w:r w:rsidRPr="0058693F">
              <w:rPr>
                <w:rFonts w:ascii="Arial" w:hAnsi="Arial" w:cs="Arial"/>
                <w:sz w:val="18"/>
                <w:szCs w:val="18"/>
              </w:rPr>
              <w:t>Fondo de aportaciones para los servicios de salud (gasto operación)</w:t>
            </w:r>
          </w:p>
        </w:tc>
        <w:tc>
          <w:tcPr>
            <w:tcW w:w="2138" w:type="dxa"/>
            <w:shd w:val="clear" w:color="auto" w:fill="auto"/>
            <w:vAlign w:val="bottom"/>
          </w:tcPr>
          <w:p w14:paraId="7EEA747D" w14:textId="792A51EE"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255,218,058.97</w:t>
            </w:r>
          </w:p>
        </w:tc>
      </w:tr>
      <w:tr w:rsidR="0058693F" w:rsidRPr="0058693F" w14:paraId="5D0468B7" w14:textId="77777777" w:rsidTr="0058693F">
        <w:trPr>
          <w:trHeight w:val="227"/>
          <w:jc w:val="center"/>
        </w:trPr>
        <w:tc>
          <w:tcPr>
            <w:tcW w:w="8500" w:type="dxa"/>
          </w:tcPr>
          <w:p w14:paraId="6A9DB1ED" w14:textId="76575A45" w:rsidR="0058693F" w:rsidRPr="0058693F" w:rsidRDefault="0058693F" w:rsidP="0058693F">
            <w:pPr>
              <w:rPr>
                <w:rFonts w:ascii="Arial" w:hAnsi="Arial" w:cs="Arial"/>
                <w:sz w:val="18"/>
                <w:szCs w:val="18"/>
              </w:rPr>
            </w:pPr>
            <w:r w:rsidRPr="0058693F">
              <w:rPr>
                <w:rFonts w:ascii="Arial" w:hAnsi="Arial" w:cs="Arial"/>
                <w:sz w:val="18"/>
                <w:szCs w:val="18"/>
              </w:rPr>
              <w:t>INSABI prestación gratuita servicios salud y demás insumos (servicios personales)</w:t>
            </w:r>
          </w:p>
        </w:tc>
        <w:tc>
          <w:tcPr>
            <w:tcW w:w="2138" w:type="dxa"/>
            <w:shd w:val="clear" w:color="auto" w:fill="auto"/>
            <w:vAlign w:val="bottom"/>
          </w:tcPr>
          <w:p w14:paraId="3EBFBEB8" w14:textId="025BFA6D"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277,356,517.40</w:t>
            </w:r>
          </w:p>
        </w:tc>
      </w:tr>
      <w:tr w:rsidR="0058693F" w:rsidRPr="0058693F" w14:paraId="302B5C34" w14:textId="77777777" w:rsidTr="0058693F">
        <w:trPr>
          <w:trHeight w:val="227"/>
          <w:jc w:val="center"/>
        </w:trPr>
        <w:tc>
          <w:tcPr>
            <w:tcW w:w="8500" w:type="dxa"/>
          </w:tcPr>
          <w:p w14:paraId="51EA3868" w14:textId="5E49E59C" w:rsidR="0058693F" w:rsidRPr="0058693F" w:rsidRDefault="0058693F" w:rsidP="0058693F">
            <w:pPr>
              <w:rPr>
                <w:rFonts w:ascii="Arial" w:hAnsi="Arial" w:cs="Arial"/>
                <w:sz w:val="18"/>
                <w:szCs w:val="18"/>
              </w:rPr>
            </w:pPr>
            <w:r w:rsidRPr="0058693F">
              <w:rPr>
                <w:rFonts w:ascii="Arial" w:hAnsi="Arial" w:cs="Arial"/>
                <w:sz w:val="18"/>
                <w:szCs w:val="18"/>
              </w:rPr>
              <w:lastRenderedPageBreak/>
              <w:t>E023 atención a la salud</w:t>
            </w:r>
          </w:p>
        </w:tc>
        <w:tc>
          <w:tcPr>
            <w:tcW w:w="2138" w:type="dxa"/>
            <w:shd w:val="clear" w:color="auto" w:fill="auto"/>
            <w:vAlign w:val="bottom"/>
          </w:tcPr>
          <w:p w14:paraId="2182C0CE" w14:textId="0A14AC97"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16,339,985.00</w:t>
            </w:r>
          </w:p>
        </w:tc>
      </w:tr>
      <w:tr w:rsidR="0058693F" w:rsidRPr="0058693F" w14:paraId="376C9EBF" w14:textId="77777777" w:rsidTr="0058693F">
        <w:trPr>
          <w:trHeight w:val="227"/>
          <w:jc w:val="center"/>
        </w:trPr>
        <w:tc>
          <w:tcPr>
            <w:tcW w:w="8500" w:type="dxa"/>
          </w:tcPr>
          <w:p w14:paraId="43D57964" w14:textId="343DF865" w:rsidR="0058693F" w:rsidRPr="0058693F" w:rsidRDefault="0058693F" w:rsidP="0058693F">
            <w:pPr>
              <w:rPr>
                <w:rFonts w:ascii="Arial" w:hAnsi="Arial" w:cs="Arial"/>
                <w:sz w:val="18"/>
                <w:szCs w:val="18"/>
              </w:rPr>
            </w:pPr>
            <w:r w:rsidRPr="0058693F">
              <w:rPr>
                <w:rFonts w:ascii="Arial" w:hAnsi="Arial" w:cs="Arial"/>
                <w:sz w:val="18"/>
                <w:szCs w:val="18"/>
              </w:rPr>
              <w:t>FPGC sustitución obra hospital general de Tlaxcala</w:t>
            </w:r>
          </w:p>
        </w:tc>
        <w:tc>
          <w:tcPr>
            <w:tcW w:w="2138" w:type="dxa"/>
            <w:shd w:val="clear" w:color="auto" w:fill="auto"/>
            <w:vAlign w:val="bottom"/>
          </w:tcPr>
          <w:p w14:paraId="6F9EBAAE" w14:textId="38CBC576"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35,336,284.30</w:t>
            </w:r>
          </w:p>
        </w:tc>
      </w:tr>
      <w:tr w:rsidR="0058693F" w:rsidRPr="0058693F" w14:paraId="298E0675" w14:textId="77777777" w:rsidTr="0058693F">
        <w:trPr>
          <w:trHeight w:val="227"/>
          <w:jc w:val="center"/>
        </w:trPr>
        <w:tc>
          <w:tcPr>
            <w:tcW w:w="8500" w:type="dxa"/>
          </w:tcPr>
          <w:p w14:paraId="02B7A639" w14:textId="672C677A" w:rsidR="0058693F" w:rsidRPr="0058693F" w:rsidRDefault="0058693F" w:rsidP="0058693F">
            <w:pPr>
              <w:rPr>
                <w:rFonts w:ascii="Arial" w:hAnsi="Arial" w:cs="Arial"/>
                <w:sz w:val="18"/>
                <w:szCs w:val="18"/>
              </w:rPr>
            </w:pPr>
            <w:r w:rsidRPr="0058693F">
              <w:rPr>
                <w:rFonts w:ascii="Arial" w:hAnsi="Arial" w:cs="Arial"/>
                <w:sz w:val="18"/>
                <w:szCs w:val="18"/>
              </w:rPr>
              <w:t>Aportación liquida estatal 2020 (gasto operación)</w:t>
            </w:r>
          </w:p>
        </w:tc>
        <w:tc>
          <w:tcPr>
            <w:tcW w:w="2138" w:type="dxa"/>
            <w:shd w:val="clear" w:color="auto" w:fill="auto"/>
            <w:vAlign w:val="bottom"/>
          </w:tcPr>
          <w:p w14:paraId="5A70843D" w14:textId="01B87C9A" w:rsidR="0058693F" w:rsidRPr="0058693F" w:rsidRDefault="0058693F" w:rsidP="0058693F">
            <w:pPr>
              <w:jc w:val="right"/>
              <w:rPr>
                <w:rFonts w:ascii="Arial" w:hAnsi="Arial" w:cs="Arial"/>
                <w:sz w:val="18"/>
                <w:szCs w:val="18"/>
              </w:rPr>
            </w:pPr>
            <w:r w:rsidRPr="0058693F">
              <w:rPr>
                <w:rFonts w:ascii="Arial" w:hAnsi="Arial" w:cs="Arial"/>
                <w:color w:val="000000"/>
                <w:sz w:val="18"/>
                <w:szCs w:val="18"/>
              </w:rPr>
              <w:t>692,273.51</w:t>
            </w:r>
          </w:p>
        </w:tc>
      </w:tr>
      <w:tr w:rsidR="0058693F" w:rsidRPr="0058693F" w14:paraId="470F2840" w14:textId="77777777" w:rsidTr="0058693F">
        <w:trPr>
          <w:trHeight w:val="227"/>
          <w:jc w:val="center"/>
        </w:trPr>
        <w:tc>
          <w:tcPr>
            <w:tcW w:w="8500" w:type="dxa"/>
          </w:tcPr>
          <w:p w14:paraId="30BE1F61" w14:textId="14EEFE30" w:rsidR="0058693F" w:rsidRPr="0058693F" w:rsidRDefault="0058693F" w:rsidP="0058693F">
            <w:pPr>
              <w:rPr>
                <w:rFonts w:ascii="Arial" w:hAnsi="Arial" w:cs="Arial"/>
                <w:sz w:val="18"/>
                <w:szCs w:val="18"/>
              </w:rPr>
            </w:pPr>
            <w:r w:rsidRPr="0058693F">
              <w:rPr>
                <w:rFonts w:ascii="Arial" w:hAnsi="Arial" w:cs="Arial"/>
                <w:sz w:val="18"/>
                <w:szCs w:val="18"/>
              </w:rPr>
              <w:t>Prevención y tratamiento de las adicciones 2021</w:t>
            </w:r>
          </w:p>
        </w:tc>
        <w:tc>
          <w:tcPr>
            <w:tcW w:w="2138" w:type="dxa"/>
            <w:shd w:val="clear" w:color="auto" w:fill="auto"/>
            <w:vAlign w:val="bottom"/>
          </w:tcPr>
          <w:p w14:paraId="08C6A0B0" w14:textId="570EB34A" w:rsidR="0058693F" w:rsidRPr="0058693F" w:rsidRDefault="0058693F" w:rsidP="0058693F">
            <w:pPr>
              <w:jc w:val="right"/>
              <w:rPr>
                <w:rFonts w:ascii="Arial" w:hAnsi="Arial" w:cs="Arial"/>
                <w:noProof/>
                <w:sz w:val="18"/>
                <w:szCs w:val="18"/>
              </w:rPr>
            </w:pPr>
            <w:r w:rsidRPr="0058693F">
              <w:rPr>
                <w:rFonts w:ascii="Arial" w:hAnsi="Arial" w:cs="Arial"/>
                <w:color w:val="000000"/>
                <w:sz w:val="18"/>
                <w:szCs w:val="18"/>
              </w:rPr>
              <w:t>2,911,355.00</w:t>
            </w:r>
          </w:p>
        </w:tc>
      </w:tr>
      <w:tr w:rsidR="0058693F" w:rsidRPr="0058693F" w14:paraId="4E5C015D" w14:textId="77777777" w:rsidTr="0058693F">
        <w:trPr>
          <w:trHeight w:val="227"/>
          <w:jc w:val="center"/>
        </w:trPr>
        <w:tc>
          <w:tcPr>
            <w:tcW w:w="8500" w:type="dxa"/>
          </w:tcPr>
          <w:p w14:paraId="747E39D4" w14:textId="7443AE12" w:rsidR="0058693F" w:rsidRPr="0058693F" w:rsidRDefault="0058693F" w:rsidP="0058693F">
            <w:pPr>
              <w:tabs>
                <w:tab w:val="left" w:pos="7309"/>
              </w:tabs>
              <w:rPr>
                <w:rFonts w:ascii="Arial" w:hAnsi="Arial" w:cs="Arial"/>
                <w:sz w:val="18"/>
                <w:szCs w:val="18"/>
              </w:rPr>
            </w:pPr>
            <w:r w:rsidRPr="0058693F">
              <w:rPr>
                <w:rFonts w:ascii="Arial" w:hAnsi="Arial" w:cs="Arial"/>
                <w:sz w:val="18"/>
                <w:szCs w:val="18"/>
              </w:rPr>
              <w:t>INSABI prestación gratuita servicios salud y demás insumos (gasto operación)</w:t>
            </w:r>
          </w:p>
        </w:tc>
        <w:tc>
          <w:tcPr>
            <w:tcW w:w="2138" w:type="dxa"/>
            <w:shd w:val="clear" w:color="auto" w:fill="auto"/>
            <w:vAlign w:val="bottom"/>
          </w:tcPr>
          <w:p w14:paraId="297D7E1E" w14:textId="4268A32A" w:rsidR="0058693F" w:rsidRPr="0058693F" w:rsidRDefault="0058693F" w:rsidP="0058693F">
            <w:pPr>
              <w:jc w:val="right"/>
              <w:rPr>
                <w:rFonts w:ascii="Arial" w:hAnsi="Arial" w:cs="Arial"/>
                <w:noProof/>
                <w:sz w:val="18"/>
                <w:szCs w:val="18"/>
              </w:rPr>
            </w:pPr>
            <w:r w:rsidRPr="0058693F">
              <w:rPr>
                <w:rFonts w:ascii="Arial" w:hAnsi="Arial" w:cs="Arial"/>
                <w:color w:val="000000"/>
                <w:sz w:val="18"/>
                <w:szCs w:val="18"/>
              </w:rPr>
              <w:t>127,887,099.68</w:t>
            </w:r>
          </w:p>
        </w:tc>
      </w:tr>
      <w:tr w:rsidR="0058693F" w:rsidRPr="0058693F" w14:paraId="643747B1" w14:textId="77777777" w:rsidTr="0058693F">
        <w:trPr>
          <w:trHeight w:val="227"/>
          <w:jc w:val="center"/>
        </w:trPr>
        <w:tc>
          <w:tcPr>
            <w:tcW w:w="8500" w:type="dxa"/>
          </w:tcPr>
          <w:p w14:paraId="2BE2E69B" w14:textId="766035CE" w:rsidR="0058693F" w:rsidRPr="0058693F" w:rsidRDefault="0058693F" w:rsidP="0058693F">
            <w:pPr>
              <w:tabs>
                <w:tab w:val="left" w:pos="7309"/>
              </w:tabs>
              <w:rPr>
                <w:rFonts w:ascii="Arial" w:hAnsi="Arial" w:cs="Arial"/>
                <w:sz w:val="18"/>
                <w:szCs w:val="18"/>
              </w:rPr>
            </w:pPr>
            <w:r w:rsidRPr="0058693F">
              <w:rPr>
                <w:rFonts w:ascii="Arial" w:hAnsi="Arial" w:cs="Arial"/>
                <w:sz w:val="18"/>
                <w:szCs w:val="18"/>
              </w:rPr>
              <w:t>Fortalecimiento a la atención medica</w:t>
            </w:r>
          </w:p>
        </w:tc>
        <w:tc>
          <w:tcPr>
            <w:tcW w:w="2138" w:type="dxa"/>
            <w:shd w:val="clear" w:color="auto" w:fill="auto"/>
            <w:vAlign w:val="bottom"/>
          </w:tcPr>
          <w:p w14:paraId="3AB59C3B" w14:textId="48782E79" w:rsidR="0058693F" w:rsidRPr="0058693F" w:rsidRDefault="0058693F" w:rsidP="0058693F">
            <w:pPr>
              <w:jc w:val="right"/>
              <w:rPr>
                <w:rFonts w:ascii="Arial" w:hAnsi="Arial" w:cs="Arial"/>
                <w:noProof/>
                <w:sz w:val="18"/>
                <w:szCs w:val="18"/>
              </w:rPr>
            </w:pPr>
            <w:r w:rsidRPr="0058693F">
              <w:rPr>
                <w:rFonts w:ascii="Arial" w:hAnsi="Arial" w:cs="Arial"/>
                <w:color w:val="000000"/>
                <w:sz w:val="18"/>
                <w:szCs w:val="18"/>
              </w:rPr>
              <w:t>8,426,313.96</w:t>
            </w:r>
          </w:p>
        </w:tc>
      </w:tr>
      <w:tr w:rsidR="0058693F" w:rsidRPr="0058693F" w14:paraId="620EF969" w14:textId="77777777" w:rsidTr="007C6888">
        <w:trPr>
          <w:trHeight w:val="227"/>
          <w:jc w:val="center"/>
        </w:trPr>
        <w:tc>
          <w:tcPr>
            <w:tcW w:w="8500" w:type="dxa"/>
          </w:tcPr>
          <w:p w14:paraId="620EF966" w14:textId="3C71899F" w:rsidR="0058693F" w:rsidRPr="0058693F" w:rsidRDefault="0058693F" w:rsidP="0058693F">
            <w:pPr>
              <w:rPr>
                <w:rFonts w:ascii="Arial" w:hAnsi="Arial" w:cs="Arial"/>
                <w:sz w:val="18"/>
                <w:szCs w:val="18"/>
              </w:rPr>
            </w:pPr>
            <w:r>
              <w:rPr>
                <w:rFonts w:ascii="Arial" w:hAnsi="Arial" w:cs="Arial"/>
                <w:sz w:val="18"/>
                <w:szCs w:val="18"/>
              </w:rPr>
              <w:t>Afaspe 2021</w:t>
            </w:r>
          </w:p>
        </w:tc>
        <w:tc>
          <w:tcPr>
            <w:tcW w:w="2138" w:type="dxa"/>
          </w:tcPr>
          <w:p w14:paraId="620EF967" w14:textId="11CE0EA2" w:rsidR="0058693F" w:rsidRPr="0058693F" w:rsidRDefault="0058693F" w:rsidP="0058693F">
            <w:pPr>
              <w:jc w:val="right"/>
              <w:rPr>
                <w:rFonts w:ascii="Arial" w:hAnsi="Arial" w:cs="Arial"/>
                <w:noProof/>
                <w:sz w:val="18"/>
                <w:szCs w:val="18"/>
              </w:rPr>
            </w:pPr>
            <w:r w:rsidRPr="0058693F">
              <w:rPr>
                <w:rFonts w:ascii="Arial" w:hAnsi="Arial" w:cs="Arial"/>
                <w:sz w:val="18"/>
                <w:szCs w:val="18"/>
              </w:rPr>
              <w:t>4</w:t>
            </w:r>
            <w:r>
              <w:rPr>
                <w:rFonts w:ascii="Arial" w:hAnsi="Arial" w:cs="Arial"/>
                <w:sz w:val="18"/>
                <w:szCs w:val="18"/>
              </w:rPr>
              <w:t>8</w:t>
            </w:r>
            <w:r w:rsidRPr="0058693F">
              <w:rPr>
                <w:rFonts w:ascii="Arial" w:hAnsi="Arial" w:cs="Arial"/>
                <w:sz w:val="18"/>
                <w:szCs w:val="18"/>
              </w:rPr>
              <w:t>,</w:t>
            </w:r>
            <w:r>
              <w:rPr>
                <w:rFonts w:ascii="Arial" w:hAnsi="Arial" w:cs="Arial"/>
                <w:sz w:val="18"/>
                <w:szCs w:val="18"/>
              </w:rPr>
              <w:t>264</w:t>
            </w:r>
            <w:r w:rsidRPr="0058693F">
              <w:rPr>
                <w:rFonts w:ascii="Arial" w:hAnsi="Arial" w:cs="Arial"/>
                <w:sz w:val="18"/>
                <w:szCs w:val="18"/>
              </w:rPr>
              <w:t>,</w:t>
            </w:r>
            <w:r>
              <w:rPr>
                <w:rFonts w:ascii="Arial" w:hAnsi="Arial" w:cs="Arial"/>
                <w:sz w:val="18"/>
                <w:szCs w:val="18"/>
              </w:rPr>
              <w:t>438</w:t>
            </w:r>
            <w:r w:rsidRPr="0058693F">
              <w:rPr>
                <w:rFonts w:ascii="Arial" w:hAnsi="Arial" w:cs="Arial"/>
                <w:sz w:val="18"/>
                <w:szCs w:val="18"/>
              </w:rPr>
              <w:t>.</w:t>
            </w:r>
            <w:r>
              <w:rPr>
                <w:rFonts w:ascii="Arial" w:hAnsi="Arial" w:cs="Arial"/>
                <w:sz w:val="18"/>
                <w:szCs w:val="18"/>
              </w:rPr>
              <w:t>61</w:t>
            </w:r>
          </w:p>
        </w:tc>
      </w:tr>
      <w:tr w:rsidR="0058693F" w:rsidRPr="0058693F" w14:paraId="620EF989" w14:textId="77777777" w:rsidTr="00B803CE">
        <w:trPr>
          <w:trHeight w:val="240"/>
          <w:jc w:val="center"/>
        </w:trPr>
        <w:tc>
          <w:tcPr>
            <w:tcW w:w="8500" w:type="dxa"/>
            <w:hideMark/>
          </w:tcPr>
          <w:p w14:paraId="620EF986" w14:textId="27B15C27" w:rsidR="0058693F" w:rsidRPr="0058693F" w:rsidRDefault="0058693F" w:rsidP="0058693F">
            <w:pPr>
              <w:rPr>
                <w:rFonts w:ascii="Arial" w:eastAsia="Times New Roman" w:hAnsi="Arial" w:cs="Arial"/>
                <w:b/>
                <w:sz w:val="18"/>
                <w:szCs w:val="18"/>
                <w:lang w:val="es-ES" w:eastAsia="es-ES"/>
              </w:rPr>
            </w:pPr>
            <w:r w:rsidRPr="0058693F">
              <w:rPr>
                <w:rFonts w:ascii="Arial" w:hAnsi="Arial" w:cs="Arial"/>
                <w:b/>
                <w:sz w:val="18"/>
                <w:szCs w:val="18"/>
              </w:rPr>
              <w:t>Suma</w:t>
            </w:r>
          </w:p>
        </w:tc>
        <w:tc>
          <w:tcPr>
            <w:tcW w:w="2138" w:type="dxa"/>
          </w:tcPr>
          <w:p w14:paraId="620EF987" w14:textId="0E8B3FE7" w:rsidR="0058693F" w:rsidRPr="0058693F" w:rsidRDefault="0058693F" w:rsidP="0058693F">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2,808,543,852.49</w:t>
            </w:r>
            <w:r>
              <w:rPr>
                <w:rFonts w:ascii="Arial" w:hAnsi="Arial" w:cs="Arial"/>
                <w:b/>
                <w:sz w:val="18"/>
                <w:szCs w:val="18"/>
              </w:rPr>
              <w:fldChar w:fldCharType="end"/>
            </w:r>
          </w:p>
        </w:tc>
      </w:tr>
    </w:tbl>
    <w:p w14:paraId="4EB6F089" w14:textId="77777777" w:rsidR="00670D29" w:rsidRDefault="00670D29" w:rsidP="00AC7F8A">
      <w:pPr>
        <w:pStyle w:val="ROMANOS"/>
        <w:spacing w:after="0" w:line="240" w:lineRule="exact"/>
        <w:rPr>
          <w:lang w:val="es-MX"/>
        </w:rPr>
      </w:pPr>
    </w:p>
    <w:p w14:paraId="17835E79" w14:textId="77777777" w:rsidR="00670D29" w:rsidRDefault="00670D29" w:rsidP="00AC7F8A">
      <w:pPr>
        <w:pStyle w:val="ROMANOS"/>
        <w:spacing w:after="0" w:line="240" w:lineRule="exact"/>
        <w:rPr>
          <w:lang w:val="es-MX"/>
        </w:rPr>
      </w:pPr>
    </w:p>
    <w:p w14:paraId="4D433930" w14:textId="2CD9B0F8" w:rsidR="00467D58" w:rsidRDefault="00467D58" w:rsidP="00AC7F8A">
      <w:pPr>
        <w:pStyle w:val="ROMANOS"/>
        <w:spacing w:after="0" w:line="240" w:lineRule="exact"/>
        <w:rPr>
          <w:lang w:val="es-MX"/>
        </w:rPr>
      </w:pPr>
      <w:r>
        <w:rPr>
          <w:b/>
          <w:bCs/>
        </w:rPr>
        <w:t>Otros Ingresos y Beneficios</w:t>
      </w:r>
    </w:p>
    <w:p w14:paraId="3E6AE39E" w14:textId="77777777" w:rsidR="00467D58" w:rsidRPr="009A5967" w:rsidRDefault="00467D58" w:rsidP="00AC7F8A">
      <w:pPr>
        <w:pStyle w:val="ROMANOS"/>
        <w:spacing w:after="0" w:line="240" w:lineRule="exact"/>
        <w:rPr>
          <w:lang w:val="es-MX"/>
        </w:rPr>
      </w:pPr>
    </w:p>
    <w:p w14:paraId="4A393219" w14:textId="04F66562" w:rsidR="00507531" w:rsidRDefault="00A75C91" w:rsidP="004F10D5">
      <w:pPr>
        <w:pStyle w:val="ROMANOS"/>
        <w:tabs>
          <w:tab w:val="clear" w:pos="720"/>
          <w:tab w:val="left" w:pos="288"/>
        </w:tabs>
        <w:spacing w:after="0" w:line="240" w:lineRule="exact"/>
        <w:ind w:left="284" w:firstLine="4"/>
        <w:rPr>
          <w:lang w:val="es-MX"/>
        </w:rPr>
      </w:pPr>
      <w:r>
        <w:rPr>
          <w:lang w:val="es-MX"/>
        </w:rPr>
        <w:t>En</w:t>
      </w:r>
      <w:r w:rsidR="00AC7F8A" w:rsidRPr="009A5967">
        <w:rPr>
          <w:lang w:val="es-MX"/>
        </w:rPr>
        <w:t xml:space="preserve"> el ejercicio 20</w:t>
      </w:r>
      <w:r w:rsidR="00467D58">
        <w:rPr>
          <w:lang w:val="es-MX"/>
        </w:rPr>
        <w:t>2</w:t>
      </w:r>
      <w:r w:rsidR="00670D29">
        <w:rPr>
          <w:lang w:val="es-MX"/>
        </w:rPr>
        <w:t>1</w:t>
      </w:r>
      <w:r w:rsidR="00AC7F8A" w:rsidRPr="009A5967">
        <w:rPr>
          <w:lang w:val="es-MX"/>
        </w:rPr>
        <w:t xml:space="preserve"> la </w:t>
      </w:r>
      <w:r w:rsidR="00AC7F8A" w:rsidRPr="009A5967">
        <w:t>Secretaría de Salud y O.P.D. Salud de Tlaxcala</w:t>
      </w:r>
      <w:r w:rsidR="00387376">
        <w:t>,</w:t>
      </w:r>
      <w:r w:rsidR="00AC7F8A" w:rsidRPr="009A5967">
        <w:rPr>
          <w:lang w:val="es-MX"/>
        </w:rPr>
        <w:t xml:space="preserve"> </w:t>
      </w:r>
      <w:r w:rsidR="00467D58">
        <w:rPr>
          <w:lang w:val="es-MX"/>
        </w:rPr>
        <w:t xml:space="preserve">ha </w:t>
      </w:r>
      <w:r w:rsidR="00AC7F8A" w:rsidRPr="009A5967">
        <w:rPr>
          <w:lang w:val="es-MX"/>
        </w:rPr>
        <w:t>obt</w:t>
      </w:r>
      <w:r w:rsidR="00467D58">
        <w:rPr>
          <w:lang w:val="es-MX"/>
        </w:rPr>
        <w:t>enido</w:t>
      </w:r>
      <w:r w:rsidR="00AD6257">
        <w:rPr>
          <w:lang w:val="es-MX"/>
        </w:rPr>
        <w:t xml:space="preserve"> otros ingresos</w:t>
      </w:r>
      <w:r w:rsidR="00DA2474">
        <w:rPr>
          <w:lang w:val="es-MX"/>
        </w:rPr>
        <w:t xml:space="preserve"> </w:t>
      </w:r>
      <w:r w:rsidR="00250686">
        <w:rPr>
          <w:lang w:val="es-MX"/>
        </w:rPr>
        <w:t>integrados conforme a lo siguiente:</w:t>
      </w:r>
    </w:p>
    <w:p w14:paraId="33E1DD32" w14:textId="77777777" w:rsidR="00507531" w:rsidRDefault="00507531" w:rsidP="004F10D5">
      <w:pPr>
        <w:pStyle w:val="ROMANOS"/>
        <w:tabs>
          <w:tab w:val="clear" w:pos="720"/>
          <w:tab w:val="left" w:pos="288"/>
        </w:tabs>
        <w:spacing w:after="0" w:line="240" w:lineRule="exact"/>
        <w:ind w:left="284" w:firstLine="4"/>
        <w:rPr>
          <w:lang w:val="es-MX"/>
        </w:rPr>
      </w:pPr>
    </w:p>
    <w:tbl>
      <w:tblPr>
        <w:tblStyle w:val="Tablaconcuadrcula"/>
        <w:tblW w:w="6799" w:type="dxa"/>
        <w:jc w:val="center"/>
        <w:tblLayout w:type="fixed"/>
        <w:tblLook w:val="04A0" w:firstRow="1" w:lastRow="0" w:firstColumn="1" w:lastColumn="0" w:noHBand="0" w:noVBand="1"/>
      </w:tblPr>
      <w:tblGrid>
        <w:gridCol w:w="5524"/>
        <w:gridCol w:w="1275"/>
      </w:tblGrid>
      <w:tr w:rsidR="00DA2474" w:rsidRPr="002F653B" w14:paraId="3B610E87" w14:textId="77777777" w:rsidTr="002F653B">
        <w:trPr>
          <w:trHeight w:val="227"/>
          <w:jc w:val="center"/>
        </w:trPr>
        <w:tc>
          <w:tcPr>
            <w:tcW w:w="5524" w:type="dxa"/>
          </w:tcPr>
          <w:p w14:paraId="6D00BEF4" w14:textId="46844C9D" w:rsidR="00DA2474" w:rsidRPr="002F653B" w:rsidRDefault="003E1FD7" w:rsidP="002F653B">
            <w:pPr>
              <w:rPr>
                <w:rFonts w:ascii="Arial" w:hAnsi="Arial" w:cs="Arial"/>
                <w:sz w:val="18"/>
                <w:szCs w:val="18"/>
              </w:rPr>
            </w:pPr>
            <w:r w:rsidRPr="002F653B">
              <w:rPr>
                <w:rFonts w:ascii="Arial" w:hAnsi="Arial" w:cs="Arial"/>
                <w:sz w:val="18"/>
                <w:szCs w:val="18"/>
              </w:rPr>
              <w:t>Concepto</w:t>
            </w:r>
          </w:p>
        </w:tc>
        <w:tc>
          <w:tcPr>
            <w:tcW w:w="1275" w:type="dxa"/>
          </w:tcPr>
          <w:p w14:paraId="50AA969E" w14:textId="77777777" w:rsidR="00DA2474" w:rsidRPr="002F653B" w:rsidRDefault="00DA2474" w:rsidP="002F653B">
            <w:pPr>
              <w:jc w:val="center"/>
              <w:rPr>
                <w:rFonts w:ascii="Arial" w:hAnsi="Arial" w:cs="Arial"/>
                <w:sz w:val="18"/>
                <w:szCs w:val="18"/>
              </w:rPr>
            </w:pPr>
            <w:r w:rsidRPr="002F653B">
              <w:rPr>
                <w:rFonts w:ascii="Arial" w:hAnsi="Arial" w:cs="Arial"/>
                <w:sz w:val="18"/>
                <w:szCs w:val="18"/>
              </w:rPr>
              <w:t>Importe</w:t>
            </w:r>
          </w:p>
        </w:tc>
      </w:tr>
      <w:tr w:rsidR="0058693F" w:rsidRPr="002F653B" w14:paraId="417B0378" w14:textId="77777777" w:rsidTr="002F653B">
        <w:trPr>
          <w:trHeight w:val="227"/>
          <w:jc w:val="center"/>
        </w:trPr>
        <w:tc>
          <w:tcPr>
            <w:tcW w:w="5524" w:type="dxa"/>
          </w:tcPr>
          <w:p w14:paraId="137F4B1F" w14:textId="05AD1A09" w:rsidR="0058693F" w:rsidRPr="002F653B" w:rsidRDefault="000E299E" w:rsidP="002F653B">
            <w:pPr>
              <w:rPr>
                <w:rFonts w:ascii="Arial" w:hAnsi="Arial" w:cs="Arial"/>
                <w:sz w:val="18"/>
                <w:szCs w:val="18"/>
              </w:rPr>
            </w:pPr>
            <w:r>
              <w:rPr>
                <w:rFonts w:ascii="Arial" w:hAnsi="Arial" w:cs="Arial"/>
                <w:sz w:val="18"/>
                <w:szCs w:val="18"/>
              </w:rPr>
              <w:t>Indemnización de Seguros</w:t>
            </w:r>
          </w:p>
        </w:tc>
        <w:tc>
          <w:tcPr>
            <w:tcW w:w="1275" w:type="dxa"/>
          </w:tcPr>
          <w:p w14:paraId="15719558" w14:textId="5CCC8809" w:rsidR="0058693F" w:rsidRPr="002F653B" w:rsidRDefault="000E299E" w:rsidP="000E299E">
            <w:pPr>
              <w:jc w:val="right"/>
              <w:rPr>
                <w:rFonts w:ascii="Arial" w:hAnsi="Arial" w:cs="Arial"/>
                <w:sz w:val="18"/>
                <w:szCs w:val="18"/>
              </w:rPr>
            </w:pPr>
            <w:r>
              <w:rPr>
                <w:rFonts w:ascii="Arial" w:hAnsi="Arial" w:cs="Arial"/>
                <w:sz w:val="18"/>
                <w:szCs w:val="18"/>
              </w:rPr>
              <w:t>455,101.40</w:t>
            </w:r>
          </w:p>
        </w:tc>
      </w:tr>
      <w:tr w:rsidR="00DA2474" w:rsidRPr="002F653B" w14:paraId="62702669" w14:textId="77777777" w:rsidTr="002F653B">
        <w:trPr>
          <w:trHeight w:val="227"/>
          <w:jc w:val="center"/>
        </w:trPr>
        <w:tc>
          <w:tcPr>
            <w:tcW w:w="5524" w:type="dxa"/>
          </w:tcPr>
          <w:p w14:paraId="689B30DF" w14:textId="77777777" w:rsidR="00DA2474" w:rsidRPr="002F653B" w:rsidRDefault="00DA2474" w:rsidP="002F653B">
            <w:pPr>
              <w:rPr>
                <w:rFonts w:ascii="Arial" w:hAnsi="Arial" w:cs="Arial"/>
                <w:sz w:val="18"/>
                <w:szCs w:val="18"/>
              </w:rPr>
            </w:pPr>
            <w:r w:rsidRPr="002F653B">
              <w:rPr>
                <w:rFonts w:ascii="Arial" w:hAnsi="Arial" w:cs="Arial"/>
                <w:sz w:val="18"/>
                <w:szCs w:val="18"/>
              </w:rPr>
              <w:t>Derivados de reintegros</w:t>
            </w:r>
          </w:p>
        </w:tc>
        <w:tc>
          <w:tcPr>
            <w:tcW w:w="1275" w:type="dxa"/>
          </w:tcPr>
          <w:p w14:paraId="24AED6B8" w14:textId="2C0F8D07" w:rsidR="00DA2474" w:rsidRPr="002F653B" w:rsidRDefault="00DA2474" w:rsidP="002F653B">
            <w:pPr>
              <w:jc w:val="right"/>
              <w:rPr>
                <w:rFonts w:ascii="Arial" w:hAnsi="Arial" w:cs="Arial"/>
                <w:sz w:val="18"/>
                <w:szCs w:val="18"/>
              </w:rPr>
            </w:pPr>
            <w:r w:rsidRPr="002F653B">
              <w:rPr>
                <w:rFonts w:ascii="Arial" w:hAnsi="Arial" w:cs="Arial"/>
                <w:sz w:val="18"/>
                <w:szCs w:val="18"/>
              </w:rPr>
              <w:t>47.15</w:t>
            </w:r>
          </w:p>
        </w:tc>
      </w:tr>
      <w:tr w:rsidR="002F653B" w:rsidRPr="002F653B" w14:paraId="7318A9E2" w14:textId="77777777" w:rsidTr="002F653B">
        <w:trPr>
          <w:trHeight w:val="227"/>
          <w:jc w:val="center"/>
        </w:trPr>
        <w:tc>
          <w:tcPr>
            <w:tcW w:w="5524" w:type="dxa"/>
          </w:tcPr>
          <w:p w14:paraId="5369B95A" w14:textId="1606073B" w:rsidR="002F653B" w:rsidRPr="002F653B" w:rsidRDefault="002F653B" w:rsidP="002F653B">
            <w:pPr>
              <w:rPr>
                <w:rFonts w:ascii="Arial" w:hAnsi="Arial" w:cs="Arial"/>
                <w:sz w:val="18"/>
                <w:szCs w:val="18"/>
              </w:rPr>
            </w:pPr>
            <w:r w:rsidRPr="002F653B">
              <w:rPr>
                <w:rFonts w:ascii="Arial" w:hAnsi="Arial" w:cs="Arial"/>
                <w:sz w:val="18"/>
                <w:szCs w:val="18"/>
              </w:rPr>
              <w:t>Sanciones a proveedores 21</w:t>
            </w:r>
          </w:p>
        </w:tc>
        <w:tc>
          <w:tcPr>
            <w:tcW w:w="1275" w:type="dxa"/>
          </w:tcPr>
          <w:p w14:paraId="19F8A683" w14:textId="61935E47" w:rsidR="002F653B" w:rsidRPr="002F653B" w:rsidRDefault="000E299E" w:rsidP="002F653B">
            <w:pPr>
              <w:jc w:val="right"/>
              <w:rPr>
                <w:rFonts w:ascii="Arial" w:hAnsi="Arial" w:cs="Arial"/>
                <w:sz w:val="18"/>
                <w:szCs w:val="18"/>
              </w:rPr>
            </w:pPr>
            <w:r>
              <w:rPr>
                <w:rFonts w:ascii="Arial" w:hAnsi="Arial" w:cs="Arial"/>
                <w:sz w:val="18"/>
                <w:szCs w:val="18"/>
              </w:rPr>
              <w:t>315,844.08</w:t>
            </w:r>
          </w:p>
        </w:tc>
      </w:tr>
      <w:tr w:rsidR="002F653B" w:rsidRPr="002F653B" w14:paraId="3E5F92C3" w14:textId="77777777" w:rsidTr="002F653B">
        <w:trPr>
          <w:trHeight w:val="227"/>
          <w:jc w:val="center"/>
        </w:trPr>
        <w:tc>
          <w:tcPr>
            <w:tcW w:w="5524" w:type="dxa"/>
            <w:noWrap/>
          </w:tcPr>
          <w:p w14:paraId="65F782FA" w14:textId="29B13E49" w:rsidR="002F653B" w:rsidRPr="002F653B" w:rsidRDefault="002F653B" w:rsidP="002F653B">
            <w:pPr>
              <w:rPr>
                <w:rFonts w:ascii="Arial" w:eastAsia="Times New Roman" w:hAnsi="Arial" w:cs="Arial"/>
                <w:sz w:val="18"/>
                <w:szCs w:val="18"/>
                <w:lang w:eastAsia="es-ES"/>
              </w:rPr>
            </w:pPr>
            <w:r w:rsidRPr="002F653B">
              <w:rPr>
                <w:rFonts w:ascii="Arial" w:hAnsi="Arial" w:cs="Arial"/>
                <w:sz w:val="18"/>
                <w:szCs w:val="18"/>
              </w:rPr>
              <w:t>Sanción a proveedores 19</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368966C" w14:textId="357AA6D6" w:rsidR="002F653B" w:rsidRPr="002F653B" w:rsidRDefault="002F653B" w:rsidP="002F653B">
            <w:pPr>
              <w:jc w:val="right"/>
              <w:rPr>
                <w:rFonts w:ascii="Arial" w:hAnsi="Arial" w:cs="Arial"/>
                <w:noProof/>
                <w:sz w:val="18"/>
                <w:szCs w:val="18"/>
              </w:rPr>
            </w:pPr>
            <w:r w:rsidRPr="002F653B">
              <w:rPr>
                <w:rFonts w:ascii="Arial" w:hAnsi="Arial" w:cs="Arial"/>
                <w:sz w:val="18"/>
                <w:szCs w:val="18"/>
              </w:rPr>
              <w:t>7,115.73</w:t>
            </w:r>
          </w:p>
        </w:tc>
      </w:tr>
      <w:tr w:rsidR="00DA2474" w:rsidRPr="002F653B" w14:paraId="09F5ED77" w14:textId="77777777" w:rsidTr="002F653B">
        <w:trPr>
          <w:trHeight w:val="227"/>
          <w:jc w:val="center"/>
        </w:trPr>
        <w:tc>
          <w:tcPr>
            <w:tcW w:w="5524" w:type="dxa"/>
          </w:tcPr>
          <w:p w14:paraId="037E749F" w14:textId="77777777" w:rsidR="00DA2474" w:rsidRPr="002F653B" w:rsidRDefault="00DA2474" w:rsidP="002F653B">
            <w:pPr>
              <w:rPr>
                <w:rFonts w:ascii="Arial" w:hAnsi="Arial" w:cs="Arial"/>
                <w:b/>
                <w:sz w:val="18"/>
                <w:szCs w:val="18"/>
              </w:rPr>
            </w:pPr>
            <w:r w:rsidRPr="002F653B">
              <w:rPr>
                <w:rFonts w:ascii="Arial" w:hAnsi="Arial" w:cs="Arial"/>
                <w:b/>
                <w:sz w:val="18"/>
                <w:szCs w:val="18"/>
              </w:rPr>
              <w:t xml:space="preserve">Suma </w:t>
            </w:r>
          </w:p>
        </w:tc>
        <w:tc>
          <w:tcPr>
            <w:tcW w:w="1275" w:type="dxa"/>
          </w:tcPr>
          <w:p w14:paraId="254CAF83" w14:textId="5234904D" w:rsidR="00DA2474" w:rsidRPr="002F653B" w:rsidRDefault="000E299E" w:rsidP="002F653B">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778,108.36</w:t>
            </w:r>
            <w:r>
              <w:rPr>
                <w:rFonts w:ascii="Arial" w:hAnsi="Arial" w:cs="Arial"/>
                <w:b/>
                <w:sz w:val="18"/>
                <w:szCs w:val="18"/>
              </w:rPr>
              <w:fldChar w:fldCharType="end"/>
            </w:r>
          </w:p>
        </w:tc>
      </w:tr>
    </w:tbl>
    <w:p w14:paraId="6C93F5BB" w14:textId="164D0621" w:rsidR="00507531" w:rsidRDefault="00507531" w:rsidP="004F10D5">
      <w:pPr>
        <w:pStyle w:val="ROMANOS"/>
        <w:tabs>
          <w:tab w:val="clear" w:pos="720"/>
          <w:tab w:val="left" w:pos="288"/>
        </w:tabs>
        <w:spacing w:after="0" w:line="240" w:lineRule="exact"/>
        <w:ind w:left="284" w:firstLine="4"/>
        <w:rPr>
          <w:lang w:val="es-MX"/>
        </w:rPr>
      </w:pPr>
    </w:p>
    <w:p w14:paraId="23F0EEAA" w14:textId="77777777" w:rsidR="00DA2474" w:rsidRPr="009A5967" w:rsidRDefault="00DA2474" w:rsidP="004F10D5">
      <w:pPr>
        <w:pStyle w:val="ROMANOS"/>
        <w:tabs>
          <w:tab w:val="clear" w:pos="720"/>
          <w:tab w:val="left" w:pos="288"/>
        </w:tabs>
        <w:spacing w:after="0" w:line="240" w:lineRule="exact"/>
        <w:ind w:left="284" w:firstLine="4"/>
        <w:rPr>
          <w:lang w:val="es-MX"/>
        </w:rPr>
      </w:pPr>
    </w:p>
    <w:p w14:paraId="620EF98F" w14:textId="77777777" w:rsidR="00AC7F8A" w:rsidRDefault="00AC7F8A" w:rsidP="00AC7F8A">
      <w:pPr>
        <w:pStyle w:val="ROMANOS"/>
        <w:spacing w:after="0" w:line="240" w:lineRule="exact"/>
        <w:rPr>
          <w:b/>
          <w:lang w:val="es-MX"/>
        </w:rPr>
      </w:pPr>
      <w:r w:rsidRPr="009A5967">
        <w:rPr>
          <w:b/>
          <w:lang w:val="es-MX"/>
        </w:rPr>
        <w:t>Gastos y Otras Pérdidas:</w:t>
      </w:r>
    </w:p>
    <w:p w14:paraId="36D25E90" w14:textId="77777777" w:rsidR="00F335B7" w:rsidRPr="009A5967" w:rsidRDefault="00F335B7" w:rsidP="00AC7F8A">
      <w:pPr>
        <w:pStyle w:val="ROMANOS"/>
        <w:spacing w:after="0" w:line="240" w:lineRule="exact"/>
        <w:rPr>
          <w:b/>
          <w:lang w:val="es-MX"/>
        </w:rPr>
      </w:pPr>
    </w:p>
    <w:p w14:paraId="620EF990" w14:textId="1CC21A14" w:rsidR="00AC7F8A" w:rsidRPr="009A5967" w:rsidRDefault="00AC7F8A" w:rsidP="004F10D5">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sidR="003C1E83">
        <w:rPr>
          <w:rFonts w:ascii="Arial" w:hAnsi="Arial" w:cs="Arial"/>
          <w:sz w:val="18"/>
          <w:szCs w:val="18"/>
          <w:lang w:val="es-ES"/>
        </w:rPr>
        <w:t xml:space="preserve"> </w:t>
      </w:r>
      <w:proofErr w:type="spellStart"/>
      <w:r w:rsidR="003C1E83">
        <w:rPr>
          <w:rFonts w:ascii="Arial" w:hAnsi="Arial" w:cs="Arial"/>
          <w:sz w:val="18"/>
          <w:szCs w:val="18"/>
          <w:lang w:val="es-ES"/>
        </w:rPr>
        <w:t>asi</w:t>
      </w:r>
      <w:proofErr w:type="spellEnd"/>
      <w:r w:rsidR="003C1E83">
        <w:rPr>
          <w:rFonts w:ascii="Arial" w:hAnsi="Arial" w:cs="Arial"/>
          <w:sz w:val="18"/>
          <w:szCs w:val="18"/>
          <w:lang w:val="es-ES"/>
        </w:rPr>
        <w:t xml:space="preserve"> como</w:t>
      </w:r>
      <w:r w:rsidRPr="009A5967">
        <w:rPr>
          <w:rFonts w:ascii="Arial" w:hAnsi="Arial" w:cs="Arial"/>
          <w:sz w:val="18"/>
          <w:szCs w:val="18"/>
          <w:lang w:val="es-ES"/>
        </w:rPr>
        <w:t xml:space="preserve"> transferencias, participaciones y aportaciones otorgadas</w:t>
      </w:r>
      <w:r w:rsidR="003C1E83">
        <w:rPr>
          <w:rFonts w:ascii="Arial" w:hAnsi="Arial" w:cs="Arial"/>
          <w:sz w:val="18"/>
          <w:szCs w:val="18"/>
          <w:lang w:val="es-ES"/>
        </w:rPr>
        <w:t>.</w:t>
      </w:r>
      <w:r w:rsidRPr="009A5967">
        <w:rPr>
          <w:rFonts w:ascii="Arial" w:hAnsi="Arial" w:cs="Arial"/>
          <w:sz w:val="18"/>
          <w:szCs w:val="18"/>
          <w:lang w:val="es-ES"/>
        </w:rPr>
        <w:t xml:space="preserve"> </w:t>
      </w:r>
    </w:p>
    <w:p w14:paraId="620EF991" w14:textId="77777777" w:rsidR="00AC7F8A" w:rsidRPr="009A5967" w:rsidRDefault="00AC7F8A" w:rsidP="00AC7F8A">
      <w:pPr>
        <w:autoSpaceDE w:val="0"/>
        <w:autoSpaceDN w:val="0"/>
        <w:adjustRightInd w:val="0"/>
        <w:spacing w:after="0" w:line="240" w:lineRule="auto"/>
        <w:ind w:left="284" w:firstLine="4"/>
        <w:rPr>
          <w:rFonts w:ascii="Arial" w:hAnsi="Arial" w:cs="Arial"/>
          <w:sz w:val="18"/>
          <w:szCs w:val="18"/>
          <w:lang w:val="es-ES"/>
        </w:rPr>
      </w:pPr>
    </w:p>
    <w:p w14:paraId="620EF992" w14:textId="77338BDE" w:rsidR="00AC7F8A" w:rsidRDefault="00AC7F8A" w:rsidP="00274905">
      <w:pPr>
        <w:autoSpaceDE w:val="0"/>
        <w:autoSpaceDN w:val="0"/>
        <w:adjustRightInd w:val="0"/>
        <w:spacing w:after="0" w:line="240" w:lineRule="auto"/>
        <w:ind w:left="284" w:firstLine="4"/>
        <w:jc w:val="both"/>
        <w:rPr>
          <w:rFonts w:ascii="Arial" w:hAnsi="Arial" w:cs="Arial"/>
          <w:sz w:val="18"/>
          <w:szCs w:val="18"/>
        </w:rPr>
      </w:pPr>
      <w:r w:rsidRPr="009A5967">
        <w:rPr>
          <w:rFonts w:ascii="Arial" w:hAnsi="Arial" w:cs="Arial"/>
          <w:sz w:val="18"/>
          <w:szCs w:val="18"/>
          <w:lang w:val="es-ES"/>
        </w:rPr>
        <w:t xml:space="preserve">El gasto por remuneraciones al personal </w:t>
      </w:r>
      <w:r w:rsidRPr="009A5967">
        <w:rPr>
          <w:rFonts w:ascii="Arial" w:hAnsi="Arial" w:cs="Arial"/>
          <w:sz w:val="18"/>
          <w:szCs w:val="18"/>
        </w:rPr>
        <w:t>necesario para brindar atención en las diferentes unidades médicas</w:t>
      </w:r>
      <w:r w:rsidR="004F10D5">
        <w:rPr>
          <w:rFonts w:ascii="Arial" w:hAnsi="Arial" w:cs="Arial"/>
          <w:sz w:val="18"/>
          <w:szCs w:val="18"/>
        </w:rPr>
        <w:t xml:space="preserve"> y administrativas</w:t>
      </w:r>
      <w:r w:rsidRPr="009A5967">
        <w:rPr>
          <w:rFonts w:ascii="Arial" w:hAnsi="Arial" w:cs="Arial"/>
          <w:sz w:val="18"/>
          <w:szCs w:val="18"/>
        </w:rPr>
        <w:t xml:space="preserve"> que integran la Secretaría de Salud y O.P.D. Salud de Tlaxcala</w:t>
      </w:r>
      <w:r w:rsidR="00387376">
        <w:rPr>
          <w:rFonts w:ascii="Arial" w:hAnsi="Arial" w:cs="Arial"/>
          <w:sz w:val="18"/>
          <w:szCs w:val="18"/>
        </w:rPr>
        <w:t>,</w:t>
      </w:r>
      <w:r w:rsidR="005614C3">
        <w:rPr>
          <w:rFonts w:ascii="Arial" w:hAnsi="Arial" w:cs="Arial"/>
          <w:sz w:val="18"/>
          <w:szCs w:val="18"/>
        </w:rPr>
        <w:t xml:space="preserve"> por el periodo que se informa</w:t>
      </w:r>
      <w:r w:rsidR="003C1E83">
        <w:rPr>
          <w:rFonts w:ascii="Arial" w:hAnsi="Arial" w:cs="Arial"/>
          <w:sz w:val="18"/>
          <w:szCs w:val="18"/>
        </w:rPr>
        <w:t>,</w:t>
      </w:r>
      <w:r>
        <w:rPr>
          <w:rFonts w:ascii="Arial" w:hAnsi="Arial" w:cs="Arial"/>
          <w:sz w:val="18"/>
          <w:szCs w:val="18"/>
        </w:rPr>
        <w:t xml:space="preserve"> represent</w:t>
      </w:r>
      <w:r w:rsidR="00A16D87">
        <w:rPr>
          <w:rFonts w:ascii="Arial" w:hAnsi="Arial" w:cs="Arial"/>
          <w:sz w:val="18"/>
          <w:szCs w:val="18"/>
        </w:rPr>
        <w:t>ó</w:t>
      </w:r>
      <w:r>
        <w:rPr>
          <w:rFonts w:ascii="Arial" w:hAnsi="Arial" w:cs="Arial"/>
          <w:sz w:val="18"/>
          <w:szCs w:val="18"/>
        </w:rPr>
        <w:t xml:space="preserve"> </w:t>
      </w:r>
      <w:r w:rsidRPr="009A5967">
        <w:rPr>
          <w:rFonts w:ascii="Arial" w:hAnsi="Arial" w:cs="Arial"/>
          <w:sz w:val="18"/>
          <w:szCs w:val="18"/>
        </w:rPr>
        <w:t xml:space="preserve">el </w:t>
      </w:r>
      <w:r w:rsidR="000E299E">
        <w:rPr>
          <w:rFonts w:ascii="Arial" w:hAnsi="Arial" w:cs="Arial"/>
          <w:sz w:val="18"/>
          <w:szCs w:val="18"/>
        </w:rPr>
        <w:t>74.10</w:t>
      </w:r>
      <w:r>
        <w:rPr>
          <w:rFonts w:ascii="Arial" w:hAnsi="Arial" w:cs="Arial"/>
          <w:sz w:val="18"/>
          <w:szCs w:val="18"/>
        </w:rPr>
        <w:t xml:space="preserve">%, mientras que el </w:t>
      </w:r>
      <w:r w:rsidR="000E299E">
        <w:rPr>
          <w:rFonts w:ascii="Arial" w:hAnsi="Arial" w:cs="Arial"/>
          <w:sz w:val="18"/>
          <w:szCs w:val="18"/>
        </w:rPr>
        <w:t>11</w:t>
      </w:r>
      <w:r w:rsidR="0004354B">
        <w:rPr>
          <w:rFonts w:ascii="Arial" w:hAnsi="Arial" w:cs="Arial"/>
          <w:sz w:val="18"/>
          <w:szCs w:val="18"/>
        </w:rPr>
        <w:t>.</w:t>
      </w:r>
      <w:r w:rsidR="000E299E">
        <w:rPr>
          <w:rFonts w:ascii="Arial" w:hAnsi="Arial" w:cs="Arial"/>
          <w:sz w:val="18"/>
          <w:szCs w:val="18"/>
        </w:rPr>
        <w:t>36</w:t>
      </w:r>
      <w:r>
        <w:rPr>
          <w:rFonts w:ascii="Arial" w:hAnsi="Arial" w:cs="Arial"/>
          <w:sz w:val="18"/>
          <w:szCs w:val="18"/>
        </w:rPr>
        <w:t xml:space="preserve">% </w:t>
      </w:r>
      <w:r w:rsidR="005614C3">
        <w:rPr>
          <w:rFonts w:ascii="Arial" w:hAnsi="Arial" w:cs="Arial"/>
          <w:sz w:val="18"/>
          <w:szCs w:val="18"/>
        </w:rPr>
        <w:t>fu</w:t>
      </w:r>
      <w:r>
        <w:rPr>
          <w:rFonts w:ascii="Arial" w:hAnsi="Arial" w:cs="Arial"/>
          <w:sz w:val="18"/>
          <w:szCs w:val="18"/>
        </w:rPr>
        <w:t>e destinado para el pago de</w:t>
      </w:r>
      <w:r w:rsidRPr="00F350EB">
        <w:rPr>
          <w:rFonts w:ascii="Arial" w:hAnsi="Arial" w:cs="Arial"/>
          <w:sz w:val="18"/>
          <w:szCs w:val="18"/>
        </w:rPr>
        <w:t xml:space="preserve"> toda clase de insumos y suministros</w:t>
      </w:r>
      <w:r>
        <w:rPr>
          <w:rFonts w:ascii="Arial" w:hAnsi="Arial" w:cs="Arial"/>
          <w:sz w:val="18"/>
          <w:szCs w:val="18"/>
        </w:rPr>
        <w:t xml:space="preserve"> </w:t>
      </w:r>
      <w:r w:rsidRPr="00F350EB">
        <w:rPr>
          <w:rFonts w:ascii="Arial" w:hAnsi="Arial" w:cs="Arial"/>
          <w:sz w:val="18"/>
          <w:szCs w:val="18"/>
        </w:rPr>
        <w:t xml:space="preserve">requeridos para la prestación </w:t>
      </w:r>
      <w:r>
        <w:rPr>
          <w:rFonts w:ascii="Arial" w:hAnsi="Arial" w:cs="Arial"/>
          <w:sz w:val="18"/>
          <w:szCs w:val="18"/>
        </w:rPr>
        <w:t>del</w:t>
      </w:r>
      <w:r w:rsidRPr="00F350EB">
        <w:rPr>
          <w:rFonts w:ascii="Arial" w:hAnsi="Arial" w:cs="Arial"/>
          <w:sz w:val="18"/>
          <w:szCs w:val="18"/>
        </w:rPr>
        <w:t xml:space="preserve"> servicio y desempeño de las actividades administrativas</w:t>
      </w:r>
      <w:r w:rsidR="00274905">
        <w:rPr>
          <w:rFonts w:ascii="Arial" w:hAnsi="Arial" w:cs="Arial"/>
          <w:sz w:val="18"/>
          <w:szCs w:val="18"/>
        </w:rPr>
        <w:t>,</w:t>
      </w:r>
      <w:r>
        <w:rPr>
          <w:rFonts w:ascii="Arial" w:hAnsi="Arial" w:cs="Arial"/>
          <w:sz w:val="18"/>
          <w:szCs w:val="18"/>
        </w:rPr>
        <w:t xml:space="preserve"> el </w:t>
      </w:r>
      <w:r w:rsidR="000E299E">
        <w:rPr>
          <w:rFonts w:ascii="Arial" w:hAnsi="Arial" w:cs="Arial"/>
          <w:sz w:val="18"/>
          <w:szCs w:val="18"/>
        </w:rPr>
        <w:t>14.34</w:t>
      </w:r>
      <w:r>
        <w:rPr>
          <w:rFonts w:ascii="Arial" w:hAnsi="Arial" w:cs="Arial"/>
          <w:sz w:val="18"/>
          <w:szCs w:val="18"/>
        </w:rPr>
        <w:t>% se desti</w:t>
      </w:r>
      <w:r w:rsidR="005614C3">
        <w:rPr>
          <w:rFonts w:ascii="Arial" w:hAnsi="Arial" w:cs="Arial"/>
          <w:sz w:val="18"/>
          <w:szCs w:val="18"/>
        </w:rPr>
        <w:t>nó</w:t>
      </w:r>
      <w:r>
        <w:rPr>
          <w:rFonts w:ascii="Arial" w:hAnsi="Arial" w:cs="Arial"/>
          <w:sz w:val="18"/>
          <w:szCs w:val="18"/>
        </w:rPr>
        <w:t xml:space="preserve"> para </w:t>
      </w:r>
      <w:r w:rsidR="005614C3">
        <w:rPr>
          <w:rFonts w:ascii="Arial" w:hAnsi="Arial" w:cs="Arial"/>
          <w:sz w:val="18"/>
          <w:szCs w:val="18"/>
        </w:rPr>
        <w:t xml:space="preserve">el </w:t>
      </w:r>
      <w:r>
        <w:rPr>
          <w:rFonts w:ascii="Arial" w:hAnsi="Arial" w:cs="Arial"/>
          <w:sz w:val="18"/>
          <w:szCs w:val="18"/>
        </w:rPr>
        <w:t>pago de servicios generales</w:t>
      </w:r>
      <w:r w:rsidR="00DA2474">
        <w:rPr>
          <w:rFonts w:ascii="Arial" w:hAnsi="Arial" w:cs="Arial"/>
          <w:sz w:val="18"/>
          <w:szCs w:val="18"/>
        </w:rPr>
        <w:t>,</w:t>
      </w:r>
      <w:r w:rsidR="0004354B">
        <w:rPr>
          <w:rFonts w:ascii="Arial" w:hAnsi="Arial" w:cs="Arial"/>
          <w:sz w:val="18"/>
          <w:szCs w:val="18"/>
        </w:rPr>
        <w:t xml:space="preserve"> y</w:t>
      </w:r>
      <w:r w:rsidR="005614C3">
        <w:rPr>
          <w:rFonts w:ascii="Arial" w:hAnsi="Arial" w:cs="Arial"/>
          <w:sz w:val="18"/>
          <w:szCs w:val="18"/>
        </w:rPr>
        <w:t xml:space="preserve"> finalmente</w:t>
      </w:r>
      <w:r w:rsidR="0004354B">
        <w:rPr>
          <w:rFonts w:ascii="Arial" w:hAnsi="Arial" w:cs="Arial"/>
          <w:sz w:val="18"/>
          <w:szCs w:val="18"/>
        </w:rPr>
        <w:t xml:space="preserve"> </w:t>
      </w:r>
      <w:r w:rsidR="0079173A">
        <w:rPr>
          <w:rFonts w:ascii="Arial" w:hAnsi="Arial" w:cs="Arial"/>
          <w:sz w:val="18"/>
          <w:szCs w:val="18"/>
        </w:rPr>
        <w:t>el 0.</w:t>
      </w:r>
      <w:r w:rsidR="000E299E">
        <w:rPr>
          <w:rFonts w:ascii="Arial" w:hAnsi="Arial" w:cs="Arial"/>
          <w:sz w:val="18"/>
          <w:szCs w:val="18"/>
        </w:rPr>
        <w:t>20</w:t>
      </w:r>
      <w:r w:rsidR="003C1E83">
        <w:rPr>
          <w:rFonts w:ascii="Arial" w:hAnsi="Arial" w:cs="Arial"/>
          <w:sz w:val="18"/>
          <w:szCs w:val="18"/>
        </w:rPr>
        <w:t>%</w:t>
      </w:r>
      <w:r w:rsidR="00323DA4">
        <w:rPr>
          <w:rFonts w:ascii="Arial" w:hAnsi="Arial" w:cs="Arial"/>
          <w:sz w:val="18"/>
          <w:szCs w:val="18"/>
        </w:rPr>
        <w:t xml:space="preserve"> </w:t>
      </w:r>
      <w:r w:rsidR="0004354B">
        <w:rPr>
          <w:rFonts w:ascii="Arial" w:hAnsi="Arial" w:cs="Arial"/>
          <w:sz w:val="18"/>
          <w:szCs w:val="18"/>
        </w:rPr>
        <w:t>por concepto de</w:t>
      </w:r>
      <w:r>
        <w:rPr>
          <w:rFonts w:ascii="Arial" w:hAnsi="Arial" w:cs="Arial"/>
          <w:sz w:val="18"/>
          <w:szCs w:val="18"/>
        </w:rPr>
        <w:t xml:space="preserve"> ayudas sociales</w:t>
      </w:r>
      <w:r w:rsidR="00387376">
        <w:rPr>
          <w:rFonts w:ascii="Arial" w:hAnsi="Arial" w:cs="Arial"/>
          <w:sz w:val="18"/>
          <w:szCs w:val="18"/>
        </w:rPr>
        <w:t xml:space="preserve"> para la </w:t>
      </w:r>
      <w:r w:rsidR="001E4CC8">
        <w:rPr>
          <w:rFonts w:ascii="Arial" w:hAnsi="Arial" w:cs="Arial"/>
          <w:sz w:val="18"/>
          <w:szCs w:val="18"/>
        </w:rPr>
        <w:t>Beneficencia Pública</w:t>
      </w:r>
      <w:r w:rsidR="00387376">
        <w:rPr>
          <w:rFonts w:ascii="Arial" w:hAnsi="Arial" w:cs="Arial"/>
          <w:sz w:val="18"/>
          <w:szCs w:val="18"/>
        </w:rPr>
        <w:t>, atención ciudadana</w:t>
      </w:r>
      <w:r w:rsidR="005737CC">
        <w:rPr>
          <w:rFonts w:ascii="Arial" w:hAnsi="Arial" w:cs="Arial"/>
          <w:sz w:val="18"/>
          <w:szCs w:val="18"/>
        </w:rPr>
        <w:t>,</w:t>
      </w:r>
      <w:r w:rsidR="001E4CC8">
        <w:rPr>
          <w:rFonts w:ascii="Arial" w:hAnsi="Arial" w:cs="Arial"/>
          <w:sz w:val="18"/>
          <w:szCs w:val="18"/>
        </w:rPr>
        <w:t xml:space="preserve"> aportaciones al Centro de Rehabilitación Integral (CRI)</w:t>
      </w:r>
      <w:r w:rsidR="00323DA4">
        <w:rPr>
          <w:rFonts w:ascii="Arial" w:hAnsi="Arial" w:cs="Arial"/>
          <w:sz w:val="18"/>
          <w:szCs w:val="18"/>
        </w:rPr>
        <w:t>.</w:t>
      </w:r>
      <w:r w:rsidR="001E4CC8">
        <w:rPr>
          <w:rFonts w:ascii="Arial" w:hAnsi="Arial" w:cs="Arial"/>
          <w:sz w:val="18"/>
          <w:szCs w:val="18"/>
        </w:rPr>
        <w:t xml:space="preserve"> </w:t>
      </w:r>
    </w:p>
    <w:p w14:paraId="5B039C7B" w14:textId="5DA08900" w:rsidR="002E5ED2" w:rsidRDefault="002E5ED2" w:rsidP="00082C0D">
      <w:pPr>
        <w:pStyle w:val="ROMANOS"/>
        <w:spacing w:after="0" w:line="240" w:lineRule="exact"/>
        <w:ind w:left="0" w:firstLine="0"/>
        <w:rPr>
          <w:lang w:val="es-MX"/>
        </w:rPr>
      </w:pPr>
    </w:p>
    <w:p w14:paraId="72B4BEE8" w14:textId="77777777" w:rsidR="00262851" w:rsidRPr="009A5967" w:rsidRDefault="00262851" w:rsidP="00082C0D">
      <w:pPr>
        <w:pStyle w:val="ROMANOS"/>
        <w:spacing w:after="0" w:line="240" w:lineRule="exact"/>
        <w:ind w:left="0" w:firstLine="0"/>
        <w:rPr>
          <w:lang w:val="es-MX"/>
        </w:rPr>
      </w:pPr>
    </w:p>
    <w:p w14:paraId="620EF998" w14:textId="77777777" w:rsidR="00AC7F8A" w:rsidRDefault="00AC7F8A" w:rsidP="00AC7F8A">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620EF999" w14:textId="77777777" w:rsidR="00E11756" w:rsidRPr="00994CB8" w:rsidRDefault="00E11756" w:rsidP="00AC7F8A">
      <w:pPr>
        <w:pStyle w:val="INCISO"/>
        <w:spacing w:after="0" w:line="240" w:lineRule="exact"/>
        <w:ind w:left="360"/>
        <w:jc w:val="center"/>
        <w:rPr>
          <w:b/>
          <w:smallCaps/>
        </w:rPr>
      </w:pPr>
    </w:p>
    <w:p w14:paraId="620EF99A" w14:textId="0220D266" w:rsidR="00AC7F8A" w:rsidRPr="00630DB0" w:rsidRDefault="00AC7F8A" w:rsidP="00AC7F8A">
      <w:pPr>
        <w:pStyle w:val="ROMANOS"/>
        <w:spacing w:after="0" w:line="240" w:lineRule="exact"/>
        <w:rPr>
          <w:lang w:val="es-MX"/>
        </w:rPr>
      </w:pPr>
      <w:r w:rsidRPr="00994CB8">
        <w:rPr>
          <w:lang w:val="es-MX"/>
        </w:rPr>
        <w:t>1.</w:t>
      </w:r>
      <w:r w:rsidRPr="00994CB8">
        <w:rPr>
          <w:lang w:val="es-MX"/>
        </w:rPr>
        <w:tab/>
      </w:r>
      <w:r>
        <w:rPr>
          <w:lang w:val="es-MX"/>
        </w:rPr>
        <w:t>No se tiene patrimonio contribuido</w:t>
      </w:r>
      <w:r w:rsidR="005614C3">
        <w:rPr>
          <w:lang w:val="es-MX"/>
        </w:rPr>
        <w:t xml:space="preserve"> al periodo que se presenta</w:t>
      </w:r>
      <w:r>
        <w:rPr>
          <w:lang w:val="es-MX"/>
        </w:rPr>
        <w:t>.</w:t>
      </w:r>
    </w:p>
    <w:p w14:paraId="620EF99B" w14:textId="5227C73E" w:rsidR="00AC7F8A" w:rsidRDefault="00AC7F8A" w:rsidP="00AC7F8A">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sidR="002E38A5">
        <w:rPr>
          <w:lang w:val="es-MX"/>
        </w:rPr>
        <w:t>s</w:t>
      </w:r>
      <w:r w:rsidRPr="00E11756">
        <w:rPr>
          <w:lang w:val="es-MX"/>
        </w:rPr>
        <w:t xml:space="preserve"> anteriores.</w:t>
      </w:r>
    </w:p>
    <w:p w14:paraId="620EF99C" w14:textId="38105709" w:rsidR="0004354B" w:rsidRDefault="0004354B" w:rsidP="00AC7F8A">
      <w:pPr>
        <w:pStyle w:val="ROMANOS"/>
        <w:spacing w:after="0" w:line="240" w:lineRule="exact"/>
        <w:ind w:left="1008" w:firstLine="0"/>
        <w:rPr>
          <w:lang w:val="es-MX"/>
        </w:rPr>
      </w:pPr>
    </w:p>
    <w:p w14:paraId="65E7C980" w14:textId="082A11C3" w:rsidR="00565193" w:rsidRDefault="00565193" w:rsidP="00AC7F8A">
      <w:pPr>
        <w:pStyle w:val="ROMANOS"/>
        <w:spacing w:after="0" w:line="240" w:lineRule="exact"/>
        <w:ind w:left="1008" w:firstLine="0"/>
        <w:rPr>
          <w:lang w:val="es-MX"/>
        </w:rPr>
      </w:pPr>
    </w:p>
    <w:p w14:paraId="159F8303" w14:textId="77777777" w:rsidR="00A16D87" w:rsidRDefault="00A16D87" w:rsidP="00AC7F8A">
      <w:pPr>
        <w:pStyle w:val="ROMANOS"/>
        <w:spacing w:after="0" w:line="240" w:lineRule="exact"/>
        <w:ind w:left="1008" w:firstLine="0"/>
        <w:rPr>
          <w:lang w:val="es-MX"/>
        </w:rPr>
      </w:pPr>
    </w:p>
    <w:p w14:paraId="2371BDB8" w14:textId="77777777" w:rsidR="00A16D87" w:rsidRDefault="00A16D87" w:rsidP="00AC7F8A">
      <w:pPr>
        <w:pStyle w:val="ROMANOS"/>
        <w:spacing w:after="0" w:line="240" w:lineRule="exact"/>
        <w:ind w:left="1008" w:firstLine="0"/>
        <w:rPr>
          <w:lang w:val="es-MX"/>
        </w:rPr>
      </w:pPr>
    </w:p>
    <w:p w14:paraId="501868FD" w14:textId="53809723" w:rsidR="00565193" w:rsidRDefault="00565193" w:rsidP="00AC7F8A">
      <w:pPr>
        <w:pStyle w:val="ROMANOS"/>
        <w:spacing w:after="0" w:line="240" w:lineRule="exact"/>
        <w:ind w:left="1008" w:firstLine="0"/>
        <w:rPr>
          <w:lang w:val="es-MX"/>
        </w:rPr>
      </w:pPr>
    </w:p>
    <w:p w14:paraId="620EF99D" w14:textId="77777777" w:rsidR="00AC7F8A" w:rsidRPr="00630DB0" w:rsidRDefault="00AC7F8A" w:rsidP="00AC7F8A">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620EF99F" w14:textId="77777777" w:rsidR="00AC7F8A" w:rsidRDefault="00AC7F8A" w:rsidP="00082C0D">
      <w:pPr>
        <w:pStyle w:val="ROMANOS"/>
        <w:spacing w:after="0" w:line="240" w:lineRule="exact"/>
        <w:ind w:left="0" w:firstLine="0"/>
        <w:rPr>
          <w:b/>
          <w:lang w:val="es-MX"/>
        </w:rPr>
      </w:pPr>
    </w:p>
    <w:p w14:paraId="620EF9A0" w14:textId="1373BEDE" w:rsidR="00AC7F8A" w:rsidRPr="007D286F" w:rsidRDefault="00AC7F8A" w:rsidP="00AC7F8A">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sidR="00507531">
        <w:rPr>
          <w:lang w:val="es-MX"/>
        </w:rPr>
        <w:t>.</w:t>
      </w:r>
    </w:p>
    <w:p w14:paraId="620EF9A1" w14:textId="77777777" w:rsidR="00AC7F8A" w:rsidRDefault="00AC7F8A" w:rsidP="00AC7F8A">
      <w:pPr>
        <w:pStyle w:val="ROMANOS"/>
        <w:spacing w:after="0" w:line="240" w:lineRule="exact"/>
        <w:rPr>
          <w:b/>
          <w:lang w:val="es-MX"/>
        </w:rPr>
      </w:pPr>
    </w:p>
    <w:p w14:paraId="620EF9A2" w14:textId="77777777" w:rsidR="00AC7F8A" w:rsidRPr="00630DB0" w:rsidRDefault="00AC7F8A" w:rsidP="00AC7F8A">
      <w:pPr>
        <w:pStyle w:val="ROMANOS"/>
        <w:spacing w:after="0" w:line="240" w:lineRule="exact"/>
        <w:rPr>
          <w:b/>
          <w:lang w:val="es-MX"/>
        </w:rPr>
      </w:pPr>
      <w:r w:rsidRPr="00630DB0">
        <w:rPr>
          <w:b/>
          <w:lang w:val="es-MX"/>
        </w:rPr>
        <w:t>Efectivo y equivalentes</w:t>
      </w:r>
    </w:p>
    <w:p w14:paraId="620EF9A3" w14:textId="77777777" w:rsidR="00AC7F8A" w:rsidRPr="00630DB0" w:rsidRDefault="00AC7F8A" w:rsidP="00AC7F8A">
      <w:pPr>
        <w:pStyle w:val="ROMANO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620EF9A4" w14:textId="77777777" w:rsidR="00AC7F8A" w:rsidRPr="00630DB0" w:rsidRDefault="00AC7F8A" w:rsidP="00AC7F8A">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AC7F8A" w:rsidRPr="002C6BD8" w14:paraId="620EF9A8" w14:textId="77777777" w:rsidTr="00FF62DE">
        <w:trPr>
          <w:jc w:val="center"/>
        </w:trPr>
        <w:tc>
          <w:tcPr>
            <w:tcW w:w="3584" w:type="dxa"/>
          </w:tcPr>
          <w:p w14:paraId="620EF9A5" w14:textId="2F11A37C" w:rsidR="00AC7F8A" w:rsidRPr="00630DB0" w:rsidRDefault="00AC7F8A" w:rsidP="00AD6257">
            <w:pPr>
              <w:pStyle w:val="Texto"/>
              <w:spacing w:after="0" w:line="240" w:lineRule="exact"/>
              <w:ind w:firstLine="0"/>
              <w:rPr>
                <w:szCs w:val="18"/>
                <w:lang w:val="es-MX"/>
              </w:rPr>
            </w:pPr>
          </w:p>
        </w:tc>
        <w:tc>
          <w:tcPr>
            <w:tcW w:w="1798" w:type="dxa"/>
          </w:tcPr>
          <w:p w14:paraId="620EF9A6" w14:textId="46D4B7A0" w:rsidR="00AC7F8A" w:rsidRPr="002C6BD8" w:rsidRDefault="00AC7F8A" w:rsidP="00A16D87">
            <w:pPr>
              <w:pStyle w:val="Texto"/>
              <w:spacing w:after="0" w:line="240" w:lineRule="exact"/>
              <w:ind w:firstLine="0"/>
              <w:jc w:val="center"/>
              <w:rPr>
                <w:szCs w:val="18"/>
                <w:lang w:val="es-MX"/>
              </w:rPr>
            </w:pPr>
            <w:r w:rsidRPr="002C6BD8">
              <w:rPr>
                <w:szCs w:val="18"/>
                <w:lang w:val="es-MX"/>
              </w:rPr>
              <w:t>20</w:t>
            </w:r>
            <w:r w:rsidR="00FF62DE">
              <w:rPr>
                <w:szCs w:val="18"/>
                <w:lang w:val="es-MX"/>
              </w:rPr>
              <w:t>2</w:t>
            </w:r>
            <w:r w:rsidR="00A16D87">
              <w:rPr>
                <w:szCs w:val="18"/>
                <w:lang w:val="es-MX"/>
              </w:rPr>
              <w:t>1</w:t>
            </w:r>
          </w:p>
        </w:tc>
        <w:tc>
          <w:tcPr>
            <w:tcW w:w="1843" w:type="dxa"/>
          </w:tcPr>
          <w:p w14:paraId="620EF9A7" w14:textId="1D45CAF6" w:rsidR="00AC7F8A" w:rsidRPr="002C6BD8" w:rsidRDefault="00A16D87" w:rsidP="0004354B">
            <w:pPr>
              <w:pStyle w:val="Texto"/>
              <w:spacing w:after="0" w:line="240" w:lineRule="exact"/>
              <w:ind w:firstLine="0"/>
              <w:jc w:val="center"/>
              <w:rPr>
                <w:szCs w:val="18"/>
                <w:lang w:val="es-MX"/>
              </w:rPr>
            </w:pPr>
            <w:r>
              <w:rPr>
                <w:szCs w:val="18"/>
                <w:lang w:val="es-MX"/>
              </w:rPr>
              <w:t>2020</w:t>
            </w:r>
          </w:p>
        </w:tc>
      </w:tr>
      <w:tr w:rsidR="00A16D87" w:rsidRPr="002C6BD8" w14:paraId="620EF9AC" w14:textId="77777777" w:rsidTr="00FF62DE">
        <w:trPr>
          <w:trHeight w:val="205"/>
          <w:jc w:val="center"/>
        </w:trPr>
        <w:tc>
          <w:tcPr>
            <w:tcW w:w="3584" w:type="dxa"/>
          </w:tcPr>
          <w:p w14:paraId="620EF9A9" w14:textId="77777777" w:rsidR="00A16D87" w:rsidRPr="002C6BD8" w:rsidRDefault="00A16D87" w:rsidP="00A16D87">
            <w:pPr>
              <w:pStyle w:val="Texto"/>
              <w:spacing w:after="0" w:line="240" w:lineRule="exact"/>
              <w:ind w:firstLine="0"/>
              <w:rPr>
                <w:szCs w:val="18"/>
                <w:lang w:val="es-MX"/>
              </w:rPr>
            </w:pPr>
            <w:r w:rsidRPr="002C6BD8">
              <w:rPr>
                <w:szCs w:val="18"/>
                <w:lang w:val="es-MX"/>
              </w:rPr>
              <w:t>Efectivo en Bancos –Tesorería</w:t>
            </w:r>
          </w:p>
        </w:tc>
        <w:tc>
          <w:tcPr>
            <w:tcW w:w="1798" w:type="dxa"/>
          </w:tcPr>
          <w:p w14:paraId="620EF9AA" w14:textId="25703BD2" w:rsidR="00A16D87" w:rsidRPr="002C6BD8" w:rsidRDefault="000E299E" w:rsidP="00A16D87">
            <w:pPr>
              <w:pStyle w:val="Texto"/>
              <w:spacing w:after="0" w:line="240" w:lineRule="exact"/>
              <w:ind w:firstLine="0"/>
              <w:jc w:val="right"/>
              <w:rPr>
                <w:szCs w:val="18"/>
                <w:lang w:val="es-MX"/>
              </w:rPr>
            </w:pPr>
            <w:r>
              <w:rPr>
                <w:szCs w:val="18"/>
                <w:lang w:val="es-MX"/>
              </w:rPr>
              <w:t>600,781,458.34</w:t>
            </w:r>
          </w:p>
        </w:tc>
        <w:tc>
          <w:tcPr>
            <w:tcW w:w="1843" w:type="dxa"/>
          </w:tcPr>
          <w:p w14:paraId="620EF9AB" w14:textId="78E6468F" w:rsidR="00A16D87" w:rsidRPr="002C6BD8" w:rsidRDefault="00A16D87" w:rsidP="00A16D87">
            <w:pPr>
              <w:pStyle w:val="Texto"/>
              <w:spacing w:after="0" w:line="240" w:lineRule="exact"/>
              <w:ind w:firstLine="0"/>
              <w:jc w:val="right"/>
              <w:rPr>
                <w:szCs w:val="18"/>
                <w:lang w:val="es-MX"/>
              </w:rPr>
            </w:pPr>
            <w:r w:rsidRPr="005737CC">
              <w:rPr>
                <w:szCs w:val="18"/>
                <w:lang w:val="es-MX"/>
              </w:rPr>
              <w:t>836,054,828.25</w:t>
            </w:r>
          </w:p>
        </w:tc>
      </w:tr>
      <w:tr w:rsidR="00A16D87" w:rsidRPr="002C6BD8" w14:paraId="620EF9B0" w14:textId="77777777" w:rsidTr="00FF62DE">
        <w:trPr>
          <w:jc w:val="center"/>
        </w:trPr>
        <w:tc>
          <w:tcPr>
            <w:tcW w:w="3584" w:type="dxa"/>
          </w:tcPr>
          <w:p w14:paraId="620EF9AD" w14:textId="77777777" w:rsidR="00A16D87" w:rsidRPr="002C6BD8" w:rsidRDefault="00A16D87" w:rsidP="00A16D87">
            <w:pPr>
              <w:pStyle w:val="Texto"/>
              <w:spacing w:after="0" w:line="240" w:lineRule="exact"/>
              <w:ind w:firstLine="0"/>
              <w:rPr>
                <w:szCs w:val="18"/>
                <w:lang w:val="es-MX"/>
              </w:rPr>
            </w:pPr>
            <w:r w:rsidRPr="002C6BD8">
              <w:rPr>
                <w:szCs w:val="18"/>
                <w:lang w:val="es-MX"/>
              </w:rPr>
              <w:t>Efectivo en Bancos- Dependencias</w:t>
            </w:r>
          </w:p>
        </w:tc>
        <w:tc>
          <w:tcPr>
            <w:tcW w:w="1798" w:type="dxa"/>
          </w:tcPr>
          <w:p w14:paraId="620EF9AE" w14:textId="0C84ED35"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AF" w14:textId="3910909C"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C6BD8" w14:paraId="620EF9B4" w14:textId="77777777" w:rsidTr="00FF62DE">
        <w:trPr>
          <w:jc w:val="center"/>
        </w:trPr>
        <w:tc>
          <w:tcPr>
            <w:tcW w:w="3584" w:type="dxa"/>
          </w:tcPr>
          <w:p w14:paraId="620EF9B1" w14:textId="77777777" w:rsidR="00A16D87" w:rsidRPr="002C6BD8" w:rsidRDefault="00A16D87" w:rsidP="00A16D87">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620EF9B2" w14:textId="4DB07116"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B3" w14:textId="51812663"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C6BD8" w14:paraId="620EF9B8" w14:textId="77777777" w:rsidTr="00FF62DE">
        <w:trPr>
          <w:jc w:val="center"/>
        </w:trPr>
        <w:tc>
          <w:tcPr>
            <w:tcW w:w="3584" w:type="dxa"/>
          </w:tcPr>
          <w:p w14:paraId="620EF9B5" w14:textId="77777777" w:rsidR="00A16D87" w:rsidRPr="002C6BD8" w:rsidRDefault="00A16D87" w:rsidP="00A16D87">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620EF9B6" w14:textId="680DA095"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B7" w14:textId="454F4F7A"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C6BD8" w14:paraId="620EF9BC" w14:textId="77777777" w:rsidTr="00FF62DE">
        <w:trPr>
          <w:jc w:val="center"/>
        </w:trPr>
        <w:tc>
          <w:tcPr>
            <w:tcW w:w="3584" w:type="dxa"/>
          </w:tcPr>
          <w:p w14:paraId="620EF9B9" w14:textId="77777777" w:rsidR="00A16D87" w:rsidRPr="002C6BD8" w:rsidRDefault="00A16D87" w:rsidP="00A16D87">
            <w:pPr>
              <w:pStyle w:val="Texto"/>
              <w:spacing w:after="0" w:line="240" w:lineRule="exact"/>
              <w:ind w:firstLine="0"/>
              <w:rPr>
                <w:szCs w:val="18"/>
                <w:lang w:val="es-MX"/>
              </w:rPr>
            </w:pPr>
            <w:r w:rsidRPr="002C6BD8">
              <w:rPr>
                <w:szCs w:val="18"/>
                <w:lang w:val="es-MX"/>
              </w:rPr>
              <w:t>Depósitos de fondos de terceros y otros</w:t>
            </w:r>
          </w:p>
        </w:tc>
        <w:tc>
          <w:tcPr>
            <w:tcW w:w="1798" w:type="dxa"/>
          </w:tcPr>
          <w:p w14:paraId="620EF9BA" w14:textId="55064BE6"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BB" w14:textId="7E767285"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E38A5" w14:paraId="620EF9C0" w14:textId="77777777" w:rsidTr="00FF62DE">
        <w:trPr>
          <w:jc w:val="center"/>
        </w:trPr>
        <w:tc>
          <w:tcPr>
            <w:tcW w:w="3584" w:type="dxa"/>
          </w:tcPr>
          <w:p w14:paraId="620EF9BD" w14:textId="77777777" w:rsidR="00A16D87" w:rsidRPr="002E38A5" w:rsidRDefault="00A16D87" w:rsidP="00A16D87">
            <w:pPr>
              <w:pStyle w:val="Texto"/>
              <w:spacing w:after="0" w:line="240" w:lineRule="exact"/>
              <w:ind w:firstLine="0"/>
              <w:rPr>
                <w:b/>
                <w:szCs w:val="18"/>
                <w:lang w:val="es-MX"/>
              </w:rPr>
            </w:pPr>
            <w:proofErr w:type="gramStart"/>
            <w:r w:rsidRPr="002E38A5">
              <w:rPr>
                <w:b/>
                <w:szCs w:val="18"/>
                <w:lang w:val="es-MX"/>
              </w:rPr>
              <w:t>Total</w:t>
            </w:r>
            <w:proofErr w:type="gramEnd"/>
            <w:r w:rsidRPr="002E38A5">
              <w:rPr>
                <w:b/>
                <w:szCs w:val="18"/>
                <w:lang w:val="es-MX"/>
              </w:rPr>
              <w:t xml:space="preserve"> de Efectivo y Equivalentes</w:t>
            </w:r>
          </w:p>
        </w:tc>
        <w:tc>
          <w:tcPr>
            <w:tcW w:w="1798" w:type="dxa"/>
          </w:tcPr>
          <w:p w14:paraId="620EF9BE" w14:textId="4B83A897" w:rsidR="00A16D87" w:rsidRPr="002E38A5" w:rsidRDefault="000E299E" w:rsidP="000E299E">
            <w:pPr>
              <w:pStyle w:val="Texto"/>
              <w:spacing w:after="0" w:line="240" w:lineRule="exact"/>
              <w:ind w:firstLine="0"/>
              <w:jc w:val="right"/>
              <w:rPr>
                <w:b/>
                <w:szCs w:val="18"/>
                <w:lang w:val="es-MX"/>
              </w:rPr>
            </w:pPr>
            <w:r w:rsidRPr="000E299E">
              <w:rPr>
                <w:b/>
                <w:szCs w:val="18"/>
                <w:lang w:val="es-MX"/>
              </w:rPr>
              <w:t>600,781,458.34</w:t>
            </w:r>
          </w:p>
        </w:tc>
        <w:tc>
          <w:tcPr>
            <w:tcW w:w="1843" w:type="dxa"/>
          </w:tcPr>
          <w:p w14:paraId="620EF9BF" w14:textId="236CA550" w:rsidR="00A16D87" w:rsidRPr="002E38A5" w:rsidRDefault="00A16D87" w:rsidP="00A16D87">
            <w:pPr>
              <w:pStyle w:val="Texto"/>
              <w:spacing w:after="0" w:line="240" w:lineRule="exact"/>
              <w:ind w:firstLine="0"/>
              <w:jc w:val="right"/>
              <w:rPr>
                <w:b/>
                <w:szCs w:val="18"/>
                <w:lang w:val="es-MX"/>
              </w:rPr>
            </w:pPr>
            <w:r w:rsidRPr="002E38A5">
              <w:rPr>
                <w:b/>
                <w:szCs w:val="18"/>
                <w:lang w:val="es-MX"/>
              </w:rPr>
              <w:t>836,054,828.25</w:t>
            </w:r>
          </w:p>
        </w:tc>
      </w:tr>
    </w:tbl>
    <w:p w14:paraId="79859485" w14:textId="77777777" w:rsidR="00082C0D" w:rsidRDefault="00082C0D" w:rsidP="00082C0D">
      <w:pPr>
        <w:pStyle w:val="ROMANOS"/>
        <w:tabs>
          <w:tab w:val="clear" w:pos="720"/>
          <w:tab w:val="left" w:pos="288"/>
        </w:tabs>
        <w:spacing w:after="0" w:line="240" w:lineRule="exact"/>
        <w:ind w:left="0" w:firstLine="0"/>
        <w:rPr>
          <w:lang w:val="es-MX"/>
        </w:rPr>
      </w:pPr>
    </w:p>
    <w:p w14:paraId="0CA52F32" w14:textId="77777777" w:rsidR="00565193" w:rsidRDefault="00565193" w:rsidP="00AC7F8A">
      <w:pPr>
        <w:pStyle w:val="ROMANOS"/>
        <w:tabs>
          <w:tab w:val="clear" w:pos="720"/>
          <w:tab w:val="left" w:pos="288"/>
        </w:tabs>
        <w:spacing w:after="0" w:line="240" w:lineRule="exact"/>
        <w:ind w:left="284" w:firstLine="4"/>
        <w:rPr>
          <w:lang w:val="es-MX"/>
        </w:rPr>
      </w:pPr>
    </w:p>
    <w:p w14:paraId="206F116B" w14:textId="2EDBED30" w:rsidR="00672F24" w:rsidRDefault="00672F24" w:rsidP="00AC7F8A">
      <w:pPr>
        <w:pStyle w:val="ROMANOS"/>
        <w:tabs>
          <w:tab w:val="clear" w:pos="720"/>
          <w:tab w:val="left" w:pos="288"/>
        </w:tabs>
        <w:spacing w:after="0" w:line="240" w:lineRule="exact"/>
        <w:ind w:left="284" w:firstLine="4"/>
        <w:rPr>
          <w:lang w:val="es-MX"/>
        </w:rPr>
      </w:pPr>
      <w:r>
        <w:rPr>
          <w:lang w:val="es-MX"/>
        </w:rPr>
        <w:t>Durante el presente</w:t>
      </w:r>
      <w:r w:rsidR="0004354B">
        <w:rPr>
          <w:lang w:val="es-MX"/>
        </w:rPr>
        <w:t xml:space="preserve"> ejercicio, </w:t>
      </w:r>
      <w:r w:rsidR="0004354B" w:rsidRPr="009A5967">
        <w:rPr>
          <w:lang w:val="es-MX"/>
        </w:rPr>
        <w:t xml:space="preserve">la </w:t>
      </w:r>
      <w:r w:rsidR="0004354B" w:rsidRPr="009A5967">
        <w:t>Secretaría de Salud y O.P.D. Salud de Tlaxcala</w:t>
      </w:r>
      <w:r w:rsidR="00082C0D">
        <w:t>,</w:t>
      </w:r>
      <w:r w:rsidR="00591D51">
        <w:t xml:space="preserve"> contin</w:t>
      </w:r>
      <w:r w:rsidR="002E38A5">
        <w:t>ú</w:t>
      </w:r>
      <w:r w:rsidR="00591D51">
        <w:t xml:space="preserve">a </w:t>
      </w:r>
      <w:r w:rsidR="00507531">
        <w:t>con la construcción de la sustitución por obra nueva del Hospital General de Tlaxcala y</w:t>
      </w:r>
      <w:r w:rsidR="0004354B">
        <w:rPr>
          <w:lang w:val="es-MX"/>
        </w:rPr>
        <w:t xml:space="preserve"> </w:t>
      </w:r>
      <w:r w:rsidR="002E38A5">
        <w:rPr>
          <w:lang w:val="es-MX"/>
        </w:rPr>
        <w:t>se realizaron</w:t>
      </w:r>
      <w:r>
        <w:rPr>
          <w:lang w:val="es-MX"/>
        </w:rPr>
        <w:t xml:space="preserve"> las siguientes adquisiciones de activo</w:t>
      </w:r>
      <w:r w:rsidR="005B3F10">
        <w:rPr>
          <w:lang w:val="es-MX"/>
        </w:rPr>
        <w:t>:</w:t>
      </w:r>
    </w:p>
    <w:p w14:paraId="5E508BB6" w14:textId="77777777" w:rsidR="00672F24" w:rsidRDefault="00672F24" w:rsidP="00AC7F8A">
      <w:pPr>
        <w:pStyle w:val="ROMANOS"/>
        <w:tabs>
          <w:tab w:val="clear" w:pos="720"/>
          <w:tab w:val="left" w:pos="288"/>
        </w:tabs>
        <w:spacing w:after="0" w:line="240" w:lineRule="exact"/>
        <w:ind w:left="284" w:firstLine="4"/>
        <w:rPr>
          <w:lang w:val="es-MX"/>
        </w:rPr>
      </w:pPr>
    </w:p>
    <w:tbl>
      <w:tblPr>
        <w:tblW w:w="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8"/>
        <w:gridCol w:w="1392"/>
      </w:tblGrid>
      <w:tr w:rsidR="001C21BB" w:rsidRPr="000E299E" w14:paraId="54F96B0E" w14:textId="77777777" w:rsidTr="000E299E">
        <w:trPr>
          <w:trHeight w:val="175"/>
          <w:jc w:val="center"/>
        </w:trPr>
        <w:tc>
          <w:tcPr>
            <w:tcW w:w="4768" w:type="dxa"/>
            <w:shd w:val="clear" w:color="auto" w:fill="auto"/>
            <w:vAlign w:val="center"/>
          </w:tcPr>
          <w:p w14:paraId="45EA7562" w14:textId="0FB67172" w:rsidR="001C21BB" w:rsidRPr="000E299E" w:rsidRDefault="001C21BB" w:rsidP="000E299E">
            <w:pPr>
              <w:spacing w:after="0" w:line="240" w:lineRule="auto"/>
              <w:jc w:val="center"/>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Descripción</w:t>
            </w:r>
          </w:p>
        </w:tc>
        <w:tc>
          <w:tcPr>
            <w:tcW w:w="1392" w:type="dxa"/>
            <w:shd w:val="clear" w:color="auto" w:fill="auto"/>
            <w:vAlign w:val="center"/>
          </w:tcPr>
          <w:p w14:paraId="4EA61827" w14:textId="28D9B3D7" w:rsidR="001C21BB" w:rsidRPr="000E299E" w:rsidRDefault="001C21BB" w:rsidP="000E299E">
            <w:pPr>
              <w:spacing w:after="0" w:line="240" w:lineRule="auto"/>
              <w:jc w:val="center"/>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Importe</w:t>
            </w:r>
          </w:p>
        </w:tc>
      </w:tr>
      <w:tr w:rsidR="00565193" w:rsidRPr="000E299E" w14:paraId="2556A397" w14:textId="77777777" w:rsidTr="000E299E">
        <w:trPr>
          <w:trHeight w:val="175"/>
          <w:jc w:val="center"/>
        </w:trPr>
        <w:tc>
          <w:tcPr>
            <w:tcW w:w="4768" w:type="dxa"/>
            <w:shd w:val="clear" w:color="auto" w:fill="auto"/>
          </w:tcPr>
          <w:p w14:paraId="7FB0408D" w14:textId="2799F6BD" w:rsidR="00565193" w:rsidRPr="000E299E" w:rsidRDefault="00565193" w:rsidP="000E299E">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Construcciones en Proceso en Bienes Propios, (</w:t>
            </w:r>
            <w:r w:rsidRPr="000E299E">
              <w:rPr>
                <w:rFonts w:ascii="Arial" w:hAnsi="Arial" w:cs="Arial"/>
                <w:sz w:val="18"/>
                <w:szCs w:val="18"/>
              </w:rPr>
              <w:t>FPGC Sustitución de Obra al Hospital General de Tlaxcala.)</w:t>
            </w:r>
          </w:p>
        </w:tc>
        <w:tc>
          <w:tcPr>
            <w:tcW w:w="1392" w:type="dxa"/>
            <w:shd w:val="clear" w:color="auto" w:fill="auto"/>
          </w:tcPr>
          <w:p w14:paraId="27A94F5E" w14:textId="01949785" w:rsidR="00565193" w:rsidRPr="000E299E" w:rsidRDefault="00262851" w:rsidP="000E299E">
            <w:pPr>
              <w:spacing w:after="0" w:line="240" w:lineRule="auto"/>
              <w:jc w:val="right"/>
              <w:rPr>
                <w:rFonts w:ascii="Arial" w:eastAsia="Times New Roman" w:hAnsi="Arial" w:cs="Arial"/>
                <w:noProof/>
                <w:color w:val="000000"/>
                <w:sz w:val="18"/>
                <w:szCs w:val="18"/>
                <w:lang w:eastAsia="es-MX"/>
              </w:rPr>
            </w:pPr>
            <w:r w:rsidRPr="000E299E">
              <w:rPr>
                <w:rFonts w:ascii="Arial" w:eastAsia="Times New Roman" w:hAnsi="Arial" w:cs="Arial"/>
                <w:noProof/>
                <w:color w:val="000000"/>
                <w:sz w:val="18"/>
                <w:szCs w:val="18"/>
                <w:lang w:eastAsia="es-MX"/>
              </w:rPr>
              <w:t>35,017,867.18</w:t>
            </w:r>
          </w:p>
        </w:tc>
      </w:tr>
      <w:tr w:rsidR="000E299E" w:rsidRPr="000E299E" w14:paraId="13BFC637" w14:textId="77777777" w:rsidTr="000E299E">
        <w:trPr>
          <w:trHeight w:val="285"/>
          <w:jc w:val="center"/>
        </w:trPr>
        <w:tc>
          <w:tcPr>
            <w:tcW w:w="4768" w:type="dxa"/>
            <w:shd w:val="clear" w:color="auto" w:fill="auto"/>
            <w:hideMark/>
          </w:tcPr>
          <w:p w14:paraId="35553DA9" w14:textId="2E663C6D" w:rsidR="000E299E" w:rsidRPr="000E299E" w:rsidRDefault="000E299E" w:rsidP="000E299E">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Mobiliario y equipo de administración</w:t>
            </w:r>
          </w:p>
        </w:tc>
        <w:tc>
          <w:tcPr>
            <w:tcW w:w="1392" w:type="dxa"/>
            <w:shd w:val="clear" w:color="auto" w:fill="auto"/>
            <w:hideMark/>
          </w:tcPr>
          <w:p w14:paraId="0F74ED49" w14:textId="2225AB66" w:rsidR="000E299E" w:rsidRPr="000E299E" w:rsidRDefault="000E299E" w:rsidP="000E299E">
            <w:pPr>
              <w:spacing w:after="0" w:line="240" w:lineRule="auto"/>
              <w:jc w:val="right"/>
              <w:rPr>
                <w:rFonts w:ascii="Arial" w:eastAsia="Times New Roman" w:hAnsi="Arial" w:cs="Arial"/>
                <w:noProof/>
                <w:color w:val="000000"/>
                <w:sz w:val="18"/>
                <w:szCs w:val="18"/>
                <w:lang w:eastAsia="es-MX"/>
              </w:rPr>
            </w:pPr>
            <w:r w:rsidRPr="000E299E">
              <w:rPr>
                <w:rFonts w:ascii="Arial" w:hAnsi="Arial" w:cs="Arial"/>
                <w:color w:val="000000"/>
                <w:sz w:val="18"/>
                <w:szCs w:val="18"/>
              </w:rPr>
              <w:t>13,025,887.49</w:t>
            </w:r>
          </w:p>
        </w:tc>
      </w:tr>
      <w:tr w:rsidR="000E299E" w:rsidRPr="000E299E" w14:paraId="11A6F3BC" w14:textId="77777777" w:rsidTr="000E299E">
        <w:trPr>
          <w:trHeight w:val="285"/>
          <w:jc w:val="center"/>
        </w:trPr>
        <w:tc>
          <w:tcPr>
            <w:tcW w:w="4768" w:type="dxa"/>
            <w:shd w:val="clear" w:color="auto" w:fill="auto"/>
          </w:tcPr>
          <w:p w14:paraId="7BC9B67D" w14:textId="2E32BAA3" w:rsidR="000E299E" w:rsidRPr="000E299E" w:rsidRDefault="000E299E" w:rsidP="000E299E">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Mobiliario y Equipo Educacional y Recreativo</w:t>
            </w:r>
          </w:p>
        </w:tc>
        <w:tc>
          <w:tcPr>
            <w:tcW w:w="1392" w:type="dxa"/>
            <w:shd w:val="clear" w:color="auto" w:fill="auto"/>
          </w:tcPr>
          <w:p w14:paraId="046AD62B" w14:textId="54D5A4E8" w:rsidR="000E299E" w:rsidRPr="000E299E" w:rsidRDefault="000E299E" w:rsidP="000E299E">
            <w:pPr>
              <w:spacing w:after="0" w:line="240" w:lineRule="auto"/>
              <w:jc w:val="right"/>
              <w:rPr>
                <w:rFonts w:ascii="Arial" w:eastAsia="Times New Roman" w:hAnsi="Arial" w:cs="Arial"/>
                <w:noProof/>
                <w:color w:val="000000"/>
                <w:sz w:val="18"/>
                <w:szCs w:val="18"/>
                <w:lang w:eastAsia="es-MX"/>
              </w:rPr>
            </w:pPr>
            <w:r w:rsidRPr="000E299E">
              <w:rPr>
                <w:rFonts w:ascii="Arial" w:hAnsi="Arial" w:cs="Arial"/>
                <w:color w:val="000000"/>
                <w:sz w:val="18"/>
                <w:szCs w:val="18"/>
              </w:rPr>
              <w:t>89,298.56</w:t>
            </w:r>
          </w:p>
        </w:tc>
      </w:tr>
      <w:tr w:rsidR="000E299E" w:rsidRPr="000E299E" w14:paraId="1A37BD35" w14:textId="77777777" w:rsidTr="000E299E">
        <w:trPr>
          <w:trHeight w:val="285"/>
          <w:jc w:val="center"/>
        </w:trPr>
        <w:tc>
          <w:tcPr>
            <w:tcW w:w="4768" w:type="dxa"/>
            <w:shd w:val="clear" w:color="auto" w:fill="auto"/>
          </w:tcPr>
          <w:p w14:paraId="50FDA25B" w14:textId="3733B090" w:rsidR="000E299E" w:rsidRPr="000E299E" w:rsidRDefault="000E299E" w:rsidP="000E299E">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Equipo e instrumental médico y de laboratorio</w:t>
            </w:r>
          </w:p>
        </w:tc>
        <w:tc>
          <w:tcPr>
            <w:tcW w:w="1392" w:type="dxa"/>
            <w:shd w:val="clear" w:color="auto" w:fill="auto"/>
          </w:tcPr>
          <w:p w14:paraId="2D4A65FF" w14:textId="3FA9352A" w:rsidR="000E299E" w:rsidRPr="000E299E" w:rsidRDefault="000E299E" w:rsidP="000E299E">
            <w:pPr>
              <w:spacing w:after="0" w:line="240" w:lineRule="auto"/>
              <w:jc w:val="right"/>
              <w:rPr>
                <w:rFonts w:ascii="Arial" w:eastAsia="Times New Roman" w:hAnsi="Arial" w:cs="Arial"/>
                <w:noProof/>
                <w:color w:val="000000"/>
                <w:sz w:val="18"/>
                <w:szCs w:val="18"/>
                <w:lang w:eastAsia="es-MX"/>
              </w:rPr>
            </w:pPr>
            <w:r w:rsidRPr="000E299E">
              <w:rPr>
                <w:rFonts w:ascii="Arial" w:hAnsi="Arial" w:cs="Arial"/>
                <w:color w:val="000000"/>
                <w:sz w:val="18"/>
                <w:szCs w:val="18"/>
              </w:rPr>
              <w:t>86,322,631.31</w:t>
            </w:r>
          </w:p>
        </w:tc>
      </w:tr>
      <w:tr w:rsidR="000E299E" w:rsidRPr="000E299E" w14:paraId="64A628BA" w14:textId="77777777" w:rsidTr="000E299E">
        <w:trPr>
          <w:trHeight w:val="285"/>
          <w:jc w:val="center"/>
        </w:trPr>
        <w:tc>
          <w:tcPr>
            <w:tcW w:w="4768" w:type="dxa"/>
            <w:shd w:val="clear" w:color="auto" w:fill="auto"/>
          </w:tcPr>
          <w:p w14:paraId="7EF18473" w14:textId="4C5C651F" w:rsidR="000E299E" w:rsidRPr="000E299E" w:rsidRDefault="000E299E" w:rsidP="000E299E">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Vehículos y Equipo de Transporte</w:t>
            </w:r>
          </w:p>
        </w:tc>
        <w:tc>
          <w:tcPr>
            <w:tcW w:w="1392" w:type="dxa"/>
            <w:shd w:val="clear" w:color="auto" w:fill="auto"/>
          </w:tcPr>
          <w:p w14:paraId="12731981" w14:textId="3CB7F0A8" w:rsidR="000E299E" w:rsidRPr="000E299E" w:rsidRDefault="000E299E" w:rsidP="000E299E">
            <w:pPr>
              <w:spacing w:after="0" w:line="240" w:lineRule="auto"/>
              <w:jc w:val="right"/>
              <w:rPr>
                <w:rFonts w:ascii="Arial" w:eastAsia="Times New Roman" w:hAnsi="Arial" w:cs="Arial"/>
                <w:noProof/>
                <w:color w:val="000000"/>
                <w:sz w:val="18"/>
                <w:szCs w:val="18"/>
                <w:lang w:eastAsia="es-MX"/>
              </w:rPr>
            </w:pPr>
            <w:r w:rsidRPr="000E299E">
              <w:rPr>
                <w:rFonts w:ascii="Arial" w:hAnsi="Arial" w:cs="Arial"/>
                <w:color w:val="000000"/>
                <w:sz w:val="18"/>
                <w:szCs w:val="18"/>
              </w:rPr>
              <w:t>0</w:t>
            </w:r>
          </w:p>
        </w:tc>
      </w:tr>
      <w:tr w:rsidR="00262851" w:rsidRPr="000E299E" w14:paraId="345E1504" w14:textId="77777777" w:rsidTr="000E299E">
        <w:trPr>
          <w:trHeight w:val="285"/>
          <w:jc w:val="center"/>
        </w:trPr>
        <w:tc>
          <w:tcPr>
            <w:tcW w:w="4768" w:type="dxa"/>
            <w:shd w:val="clear" w:color="auto" w:fill="auto"/>
          </w:tcPr>
          <w:p w14:paraId="1486EA73" w14:textId="71C05AAF" w:rsidR="00262851" w:rsidRPr="000E299E" w:rsidRDefault="00262851" w:rsidP="000E299E">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Maquinaria, otros equipos y herramientas</w:t>
            </w:r>
          </w:p>
        </w:tc>
        <w:tc>
          <w:tcPr>
            <w:tcW w:w="1392" w:type="dxa"/>
            <w:shd w:val="clear" w:color="auto" w:fill="auto"/>
          </w:tcPr>
          <w:p w14:paraId="16DCEC33" w14:textId="67FFAA93" w:rsidR="00262851" w:rsidRPr="000E299E" w:rsidRDefault="000E299E" w:rsidP="000E299E">
            <w:pPr>
              <w:spacing w:after="0" w:line="240" w:lineRule="auto"/>
              <w:jc w:val="right"/>
              <w:rPr>
                <w:rFonts w:ascii="Arial" w:eastAsia="Times New Roman" w:hAnsi="Arial" w:cs="Arial"/>
                <w:noProof/>
                <w:color w:val="000000"/>
                <w:sz w:val="18"/>
                <w:szCs w:val="18"/>
                <w:lang w:eastAsia="es-MX"/>
              </w:rPr>
            </w:pPr>
            <w:r w:rsidRPr="000E299E">
              <w:rPr>
                <w:rFonts w:ascii="Arial" w:hAnsi="Arial" w:cs="Arial"/>
                <w:sz w:val="18"/>
                <w:szCs w:val="18"/>
              </w:rPr>
              <w:t>1,259,039.48</w:t>
            </w:r>
          </w:p>
        </w:tc>
      </w:tr>
      <w:tr w:rsidR="00262851" w:rsidRPr="000E299E" w14:paraId="551D9475" w14:textId="77777777" w:rsidTr="000E299E">
        <w:trPr>
          <w:trHeight w:val="285"/>
          <w:jc w:val="center"/>
        </w:trPr>
        <w:tc>
          <w:tcPr>
            <w:tcW w:w="4768" w:type="dxa"/>
            <w:shd w:val="clear" w:color="auto" w:fill="auto"/>
          </w:tcPr>
          <w:p w14:paraId="162361B8" w14:textId="20567203" w:rsidR="00262851" w:rsidRPr="000E299E" w:rsidRDefault="00262851" w:rsidP="000E299E">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Software</w:t>
            </w:r>
          </w:p>
        </w:tc>
        <w:tc>
          <w:tcPr>
            <w:tcW w:w="1392" w:type="dxa"/>
            <w:shd w:val="clear" w:color="auto" w:fill="auto"/>
          </w:tcPr>
          <w:p w14:paraId="666894B3" w14:textId="597E7D46" w:rsidR="00262851" w:rsidRPr="000E299E" w:rsidRDefault="00262851" w:rsidP="000E299E">
            <w:pPr>
              <w:spacing w:after="0" w:line="240" w:lineRule="auto"/>
              <w:jc w:val="right"/>
              <w:rPr>
                <w:rFonts w:ascii="Arial" w:hAnsi="Arial" w:cs="Arial"/>
                <w:sz w:val="18"/>
                <w:szCs w:val="18"/>
              </w:rPr>
            </w:pPr>
            <w:r w:rsidRPr="000E299E">
              <w:rPr>
                <w:rFonts w:ascii="Arial" w:hAnsi="Arial" w:cs="Arial"/>
                <w:sz w:val="18"/>
                <w:szCs w:val="18"/>
              </w:rPr>
              <w:t>1,166.98</w:t>
            </w:r>
          </w:p>
        </w:tc>
      </w:tr>
      <w:tr w:rsidR="00565193" w:rsidRPr="000E299E" w14:paraId="61FA41E6" w14:textId="77777777" w:rsidTr="000E299E">
        <w:trPr>
          <w:trHeight w:val="285"/>
          <w:jc w:val="center"/>
        </w:trPr>
        <w:tc>
          <w:tcPr>
            <w:tcW w:w="4768" w:type="dxa"/>
            <w:shd w:val="clear" w:color="auto" w:fill="auto"/>
          </w:tcPr>
          <w:p w14:paraId="6A24E695" w14:textId="300BA785" w:rsidR="00565193" w:rsidRPr="000E299E" w:rsidRDefault="00565193" w:rsidP="000E299E">
            <w:pPr>
              <w:spacing w:after="0" w:line="240" w:lineRule="auto"/>
              <w:rPr>
                <w:rFonts w:ascii="Arial" w:eastAsia="Times New Roman" w:hAnsi="Arial" w:cs="Arial"/>
                <w:b/>
                <w:color w:val="000000"/>
                <w:sz w:val="18"/>
                <w:szCs w:val="18"/>
                <w:lang w:eastAsia="es-MX"/>
              </w:rPr>
            </w:pPr>
            <w:r w:rsidRPr="000E299E">
              <w:rPr>
                <w:rFonts w:ascii="Arial" w:eastAsia="Times New Roman" w:hAnsi="Arial" w:cs="Arial"/>
                <w:b/>
                <w:color w:val="000000"/>
                <w:sz w:val="18"/>
                <w:szCs w:val="18"/>
                <w:lang w:eastAsia="es-MX"/>
              </w:rPr>
              <w:t>Suma</w:t>
            </w:r>
          </w:p>
        </w:tc>
        <w:tc>
          <w:tcPr>
            <w:tcW w:w="1392" w:type="dxa"/>
            <w:shd w:val="clear" w:color="auto" w:fill="auto"/>
          </w:tcPr>
          <w:p w14:paraId="24AED3A6" w14:textId="14F522D1" w:rsidR="00565193" w:rsidRPr="000E299E" w:rsidRDefault="000E299E" w:rsidP="000E299E">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fldChar w:fldCharType="begin"/>
            </w:r>
            <w:r>
              <w:rPr>
                <w:rFonts w:ascii="Arial" w:eastAsia="Times New Roman" w:hAnsi="Arial" w:cs="Arial"/>
                <w:b/>
                <w:color w:val="000000"/>
                <w:sz w:val="18"/>
                <w:szCs w:val="18"/>
                <w:lang w:eastAsia="es-MX"/>
              </w:rPr>
              <w:instrText xml:space="preserve"> =SUM(ABOVE) </w:instrText>
            </w:r>
            <w:r>
              <w:rPr>
                <w:rFonts w:ascii="Arial" w:eastAsia="Times New Roman" w:hAnsi="Arial" w:cs="Arial"/>
                <w:b/>
                <w:color w:val="000000"/>
                <w:sz w:val="18"/>
                <w:szCs w:val="18"/>
                <w:lang w:eastAsia="es-MX"/>
              </w:rPr>
              <w:fldChar w:fldCharType="separate"/>
            </w:r>
            <w:r>
              <w:rPr>
                <w:rFonts w:ascii="Arial" w:eastAsia="Times New Roman" w:hAnsi="Arial" w:cs="Arial"/>
                <w:b/>
                <w:noProof/>
                <w:color w:val="000000"/>
                <w:sz w:val="18"/>
                <w:szCs w:val="18"/>
                <w:lang w:eastAsia="es-MX"/>
              </w:rPr>
              <w:t>135,715,891</w:t>
            </w:r>
            <w:r>
              <w:rPr>
                <w:rFonts w:ascii="Arial" w:eastAsia="Times New Roman" w:hAnsi="Arial" w:cs="Arial"/>
                <w:b/>
                <w:color w:val="000000"/>
                <w:sz w:val="18"/>
                <w:szCs w:val="18"/>
                <w:lang w:eastAsia="es-MX"/>
              </w:rPr>
              <w:fldChar w:fldCharType="end"/>
            </w:r>
            <w:r>
              <w:rPr>
                <w:rFonts w:ascii="Arial" w:eastAsia="Times New Roman" w:hAnsi="Arial" w:cs="Arial"/>
                <w:b/>
                <w:color w:val="000000"/>
                <w:sz w:val="18"/>
                <w:szCs w:val="18"/>
                <w:lang w:eastAsia="es-MX"/>
              </w:rPr>
              <w:t>.00</w:t>
            </w:r>
          </w:p>
        </w:tc>
      </w:tr>
    </w:tbl>
    <w:p w14:paraId="530C9BA9" w14:textId="77777777" w:rsidR="00672F24" w:rsidRDefault="00672F24" w:rsidP="00AC7F8A">
      <w:pPr>
        <w:pStyle w:val="ROMANOS"/>
        <w:tabs>
          <w:tab w:val="clear" w:pos="720"/>
          <w:tab w:val="left" w:pos="288"/>
        </w:tabs>
        <w:spacing w:after="0" w:line="240" w:lineRule="exact"/>
        <w:ind w:left="284" w:firstLine="4"/>
        <w:rPr>
          <w:lang w:val="es-MX"/>
        </w:rPr>
      </w:pPr>
    </w:p>
    <w:p w14:paraId="620EF9C4" w14:textId="2180B586" w:rsidR="00AC7F8A" w:rsidRDefault="00AC7F8A" w:rsidP="00AC7F8A">
      <w:pPr>
        <w:pStyle w:val="ROMANOS"/>
        <w:tabs>
          <w:tab w:val="clear" w:pos="720"/>
          <w:tab w:val="left" w:pos="288"/>
        </w:tabs>
        <w:spacing w:after="0" w:line="240" w:lineRule="exact"/>
        <w:ind w:left="284" w:firstLine="4"/>
        <w:rPr>
          <w:lang w:val="es-MX"/>
        </w:rPr>
      </w:pPr>
    </w:p>
    <w:p w14:paraId="7E1E9B99" w14:textId="77777777" w:rsidR="00C71B08" w:rsidRDefault="00C71B08" w:rsidP="00AC7F8A">
      <w:pPr>
        <w:pStyle w:val="ROMANOS"/>
        <w:tabs>
          <w:tab w:val="clear" w:pos="720"/>
          <w:tab w:val="left" w:pos="288"/>
        </w:tabs>
        <w:spacing w:after="0" w:line="240" w:lineRule="exact"/>
        <w:ind w:left="284" w:firstLine="4"/>
        <w:rPr>
          <w:lang w:val="es-MX"/>
        </w:rPr>
      </w:pPr>
    </w:p>
    <w:p w14:paraId="620EF9C5" w14:textId="77777777" w:rsidR="00AC7F8A" w:rsidRDefault="00AC7F8A" w:rsidP="00AC7F8A">
      <w:pPr>
        <w:pStyle w:val="ROMANOS"/>
        <w:tabs>
          <w:tab w:val="clear" w:pos="720"/>
          <w:tab w:val="left" w:pos="288"/>
        </w:tabs>
        <w:spacing w:after="0" w:line="240" w:lineRule="exact"/>
        <w:ind w:left="284" w:firstLine="4"/>
        <w:rPr>
          <w:lang w:val="es-MX"/>
        </w:rPr>
      </w:pPr>
    </w:p>
    <w:p w14:paraId="74392022" w14:textId="77777777" w:rsidR="00A16D87" w:rsidRDefault="00A16D87" w:rsidP="00AC7F8A">
      <w:pPr>
        <w:pStyle w:val="ROMANOS"/>
        <w:tabs>
          <w:tab w:val="clear" w:pos="720"/>
          <w:tab w:val="left" w:pos="288"/>
        </w:tabs>
        <w:spacing w:after="0" w:line="240" w:lineRule="exact"/>
        <w:ind w:left="284" w:firstLine="4"/>
        <w:rPr>
          <w:lang w:val="es-MX"/>
        </w:rPr>
      </w:pPr>
    </w:p>
    <w:p w14:paraId="4E92BACD" w14:textId="77777777" w:rsidR="00A16D87" w:rsidRDefault="00A16D87" w:rsidP="00AC7F8A">
      <w:pPr>
        <w:pStyle w:val="ROMANOS"/>
        <w:tabs>
          <w:tab w:val="clear" w:pos="720"/>
          <w:tab w:val="left" w:pos="288"/>
        </w:tabs>
        <w:spacing w:after="0" w:line="240" w:lineRule="exact"/>
        <w:ind w:left="284" w:firstLine="4"/>
        <w:rPr>
          <w:lang w:val="es-MX"/>
        </w:rPr>
      </w:pPr>
    </w:p>
    <w:p w14:paraId="620EF9CF" w14:textId="77777777" w:rsidR="00AC7F8A" w:rsidRPr="00630DB0" w:rsidRDefault="00AC7F8A" w:rsidP="00082C0D">
      <w:pPr>
        <w:pStyle w:val="Texto"/>
        <w:spacing w:after="0" w:line="240" w:lineRule="exact"/>
        <w:ind w:firstLine="0"/>
        <w:rPr>
          <w:szCs w:val="18"/>
          <w:lang w:val="es-MX"/>
        </w:rPr>
      </w:pPr>
    </w:p>
    <w:p w14:paraId="620EF9D0" w14:textId="77777777" w:rsidR="00AC7F8A" w:rsidRPr="002715B0" w:rsidRDefault="00AC7F8A" w:rsidP="00AC7F8A">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620EF9D1" w14:textId="2EB7C2FB" w:rsidR="00AC7F8A" w:rsidRPr="00630DB0" w:rsidRDefault="00AC7F8A" w:rsidP="00AC7F8A">
      <w:pPr>
        <w:pStyle w:val="Texto"/>
        <w:spacing w:after="0" w:line="240" w:lineRule="exact"/>
        <w:jc w:val="center"/>
        <w:rPr>
          <w:b/>
          <w:smallCaps/>
          <w:szCs w:val="18"/>
          <w:lang w:val="es-MX"/>
        </w:rPr>
      </w:pPr>
      <w:r>
        <w:rPr>
          <w:b/>
          <w:smallCaps/>
          <w:szCs w:val="18"/>
          <w:lang w:val="es-MX"/>
        </w:rPr>
        <w:t xml:space="preserve"> </w:t>
      </w:r>
    </w:p>
    <w:p w14:paraId="620EF9D2" w14:textId="773BB85B" w:rsidR="00AC7F8A" w:rsidRDefault="00AC7F8A" w:rsidP="00AC7F8A">
      <w:pPr>
        <w:pStyle w:val="Texto"/>
        <w:spacing w:after="0" w:line="240" w:lineRule="exact"/>
        <w:ind w:firstLine="0"/>
        <w:jc w:val="center"/>
        <w:rPr>
          <w:szCs w:val="18"/>
        </w:rPr>
      </w:pPr>
    </w:p>
    <w:p w14:paraId="620EF9D3" w14:textId="77777777" w:rsidR="00AC7F8A" w:rsidRDefault="00AC7F8A" w:rsidP="00AC7F8A">
      <w:pPr>
        <w:pStyle w:val="Texto"/>
        <w:spacing w:after="0" w:line="240" w:lineRule="exact"/>
        <w:ind w:firstLine="0"/>
        <w:jc w:val="center"/>
        <w:rPr>
          <w:szCs w:val="18"/>
        </w:rPr>
      </w:pPr>
    </w:p>
    <w:p w14:paraId="349709BA" w14:textId="261F4156" w:rsidR="002E5ED2" w:rsidRDefault="00D565C6" w:rsidP="00AC7F8A">
      <w:pPr>
        <w:pStyle w:val="Texto"/>
        <w:spacing w:after="0" w:line="240" w:lineRule="exact"/>
        <w:ind w:firstLine="0"/>
        <w:jc w:val="center"/>
        <w:rPr>
          <w:szCs w:val="18"/>
        </w:rPr>
      </w:pPr>
      <w:r>
        <w:rPr>
          <w:noProof/>
          <w:lang w:val="es-MX" w:eastAsia="es-MX"/>
        </w:rPr>
        <w:object w:dxaOrig="21945" w:dyaOrig="16440" w14:anchorId="620EFAA0">
          <v:shape id="_x0000_s1072" type="#_x0000_t75" style="position:absolute;left:0;text-align:left;margin-left:0;margin-top:17.65pt;width:678pt;height:329.55pt;z-index:251672576;mso-position-horizontal-relative:text;mso-position-vertical-relative:text">
            <v:imagedata r:id="rId22" o:title=""/>
            <w10:wrap type="topAndBottom"/>
          </v:shape>
          <o:OLEObject Type="Embed" ProgID="Excel.Sheet.12" ShapeID="_x0000_s1072" DrawAspect="Content" ObjectID="_1695122091" r:id="rId23"/>
        </w:object>
      </w:r>
    </w:p>
    <w:p w14:paraId="37531506" w14:textId="57E5CE11" w:rsidR="002E5ED2" w:rsidRDefault="002E5ED2" w:rsidP="00AC7F8A">
      <w:pPr>
        <w:pStyle w:val="Texto"/>
        <w:spacing w:after="0" w:line="240" w:lineRule="exact"/>
        <w:ind w:firstLine="0"/>
        <w:jc w:val="center"/>
        <w:rPr>
          <w:szCs w:val="18"/>
        </w:rPr>
      </w:pPr>
    </w:p>
    <w:p w14:paraId="095A696A" w14:textId="77777777" w:rsidR="002E5ED2" w:rsidRDefault="002E5ED2" w:rsidP="00AC7F8A">
      <w:pPr>
        <w:pStyle w:val="Texto"/>
        <w:spacing w:after="0" w:line="240" w:lineRule="exact"/>
        <w:ind w:firstLine="0"/>
        <w:jc w:val="center"/>
        <w:rPr>
          <w:szCs w:val="18"/>
        </w:rPr>
      </w:pPr>
    </w:p>
    <w:p w14:paraId="6C8AC000" w14:textId="0522E241" w:rsidR="002E5ED2" w:rsidRDefault="002E5ED2" w:rsidP="00AC7F8A">
      <w:pPr>
        <w:pStyle w:val="Texto"/>
        <w:spacing w:after="0" w:line="240" w:lineRule="exact"/>
        <w:ind w:firstLine="0"/>
        <w:jc w:val="center"/>
        <w:rPr>
          <w:szCs w:val="18"/>
        </w:rPr>
      </w:pPr>
    </w:p>
    <w:p w14:paraId="620EF9D4" w14:textId="2F472C93" w:rsidR="00AC7F8A" w:rsidRDefault="00AC7F8A" w:rsidP="00AC7F8A">
      <w:pPr>
        <w:pStyle w:val="Texto"/>
        <w:spacing w:after="0" w:line="240" w:lineRule="exact"/>
        <w:ind w:firstLine="0"/>
        <w:jc w:val="center"/>
        <w:rPr>
          <w:szCs w:val="18"/>
        </w:rPr>
      </w:pPr>
    </w:p>
    <w:p w14:paraId="2F219D6C" w14:textId="264E8ED6" w:rsidR="00B32D71" w:rsidRDefault="00D565C6" w:rsidP="0062599C">
      <w:pPr>
        <w:pStyle w:val="Texto"/>
        <w:spacing w:after="0" w:line="240" w:lineRule="exact"/>
        <w:ind w:firstLine="0"/>
        <w:rPr>
          <w:szCs w:val="18"/>
        </w:rPr>
      </w:pPr>
      <w:r>
        <w:rPr>
          <w:noProof/>
          <w:szCs w:val="18"/>
        </w:rPr>
        <w:object w:dxaOrig="21945" w:dyaOrig="16440" w14:anchorId="620EFAA1">
          <v:shape id="_x0000_s1074" type="#_x0000_t75" style="position:absolute;left:0;text-align:left;margin-left:9.15pt;margin-top:36.65pt;width:681.1pt;height:344.95pt;z-index:251675648">
            <v:imagedata r:id="rId24" o:title=""/>
            <w10:wrap type="topAndBottom"/>
          </v:shape>
          <o:OLEObject Type="Embed" ProgID="Excel.Sheet.8" ShapeID="_x0000_s1074" DrawAspect="Content" ObjectID="_1695122092" r:id="rId25"/>
        </w:object>
      </w:r>
    </w:p>
    <w:p w14:paraId="1130EA3B" w14:textId="77777777" w:rsidR="00764CB9" w:rsidRDefault="00764CB9" w:rsidP="00AC7F8A">
      <w:pPr>
        <w:pStyle w:val="Texto"/>
        <w:spacing w:after="0" w:line="240" w:lineRule="exact"/>
        <w:ind w:firstLine="0"/>
        <w:jc w:val="center"/>
        <w:rPr>
          <w:szCs w:val="18"/>
        </w:rPr>
      </w:pPr>
    </w:p>
    <w:p w14:paraId="1C96984D" w14:textId="77777777" w:rsidR="00764CB9" w:rsidRDefault="00764CB9" w:rsidP="00AC7F8A">
      <w:pPr>
        <w:pStyle w:val="Texto"/>
        <w:spacing w:after="0" w:line="240" w:lineRule="exact"/>
        <w:ind w:firstLine="0"/>
        <w:jc w:val="center"/>
        <w:rPr>
          <w:szCs w:val="18"/>
        </w:rPr>
      </w:pPr>
    </w:p>
    <w:p w14:paraId="585D84A8" w14:textId="77777777" w:rsidR="00764CB9" w:rsidRDefault="00764CB9" w:rsidP="00AC7F8A">
      <w:pPr>
        <w:pStyle w:val="Texto"/>
        <w:spacing w:after="0" w:line="240" w:lineRule="exact"/>
        <w:ind w:firstLine="0"/>
        <w:jc w:val="center"/>
        <w:rPr>
          <w:szCs w:val="18"/>
        </w:rPr>
      </w:pPr>
    </w:p>
    <w:p w14:paraId="16B71433" w14:textId="77777777" w:rsidR="00764CB9" w:rsidRDefault="00764CB9" w:rsidP="00AC7F8A">
      <w:pPr>
        <w:pStyle w:val="Texto"/>
        <w:spacing w:after="0" w:line="240" w:lineRule="exact"/>
        <w:ind w:firstLine="0"/>
        <w:jc w:val="center"/>
        <w:rPr>
          <w:szCs w:val="18"/>
        </w:rPr>
      </w:pPr>
    </w:p>
    <w:p w14:paraId="088EA2FA" w14:textId="77777777" w:rsidR="00764CB9" w:rsidRDefault="00764CB9" w:rsidP="00AC7F8A">
      <w:pPr>
        <w:pStyle w:val="Texto"/>
        <w:spacing w:after="0" w:line="240" w:lineRule="exact"/>
        <w:ind w:firstLine="0"/>
        <w:jc w:val="center"/>
        <w:rPr>
          <w:szCs w:val="18"/>
        </w:rPr>
      </w:pPr>
    </w:p>
    <w:p w14:paraId="630EF802" w14:textId="7F41D29F" w:rsidR="00764CB9" w:rsidRDefault="00764CB9" w:rsidP="00AC7F8A">
      <w:pPr>
        <w:pStyle w:val="Texto"/>
        <w:spacing w:after="0" w:line="240" w:lineRule="exact"/>
        <w:ind w:firstLine="0"/>
        <w:jc w:val="center"/>
        <w:rPr>
          <w:szCs w:val="18"/>
        </w:rPr>
      </w:pPr>
    </w:p>
    <w:p w14:paraId="4F3C9530" w14:textId="77777777" w:rsidR="00D1094D" w:rsidRDefault="00D1094D" w:rsidP="00AC7F8A">
      <w:pPr>
        <w:pStyle w:val="Texto"/>
        <w:spacing w:after="0" w:line="240" w:lineRule="exact"/>
        <w:ind w:firstLine="0"/>
        <w:jc w:val="center"/>
        <w:rPr>
          <w:szCs w:val="18"/>
        </w:rPr>
      </w:pPr>
    </w:p>
    <w:p w14:paraId="62342DEC" w14:textId="77777777" w:rsidR="00D1094D" w:rsidRDefault="00D1094D" w:rsidP="00AC7F8A">
      <w:pPr>
        <w:pStyle w:val="Texto"/>
        <w:spacing w:after="0" w:line="240" w:lineRule="exact"/>
        <w:ind w:firstLine="0"/>
        <w:jc w:val="center"/>
        <w:rPr>
          <w:szCs w:val="18"/>
        </w:rPr>
      </w:pPr>
    </w:p>
    <w:p w14:paraId="06D2AEA0" w14:textId="77777777" w:rsidR="00D1094D" w:rsidRDefault="00D1094D" w:rsidP="00AC7F8A">
      <w:pPr>
        <w:pStyle w:val="Texto"/>
        <w:spacing w:after="0" w:line="240" w:lineRule="exact"/>
        <w:ind w:firstLine="0"/>
        <w:jc w:val="center"/>
        <w:rPr>
          <w:szCs w:val="18"/>
        </w:rPr>
      </w:pPr>
    </w:p>
    <w:p w14:paraId="1B3A217D" w14:textId="77777777" w:rsidR="001A7F34" w:rsidRDefault="001A7F34" w:rsidP="00AC7F8A">
      <w:pPr>
        <w:pStyle w:val="Texto"/>
        <w:spacing w:after="0" w:line="240" w:lineRule="exact"/>
        <w:ind w:firstLine="0"/>
        <w:jc w:val="center"/>
        <w:rPr>
          <w:szCs w:val="18"/>
        </w:rPr>
      </w:pPr>
    </w:p>
    <w:p w14:paraId="620EF9D7" w14:textId="77777777" w:rsidR="00AC7F8A" w:rsidRPr="00630DB0" w:rsidRDefault="00AC7F8A" w:rsidP="00AC7F8A">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620EF9D8" w14:textId="77777777" w:rsidR="00AC7F8A" w:rsidRPr="00630DB0" w:rsidRDefault="00AC7F8A" w:rsidP="00AC7F8A">
      <w:pPr>
        <w:pStyle w:val="Texto"/>
        <w:spacing w:after="0" w:line="240" w:lineRule="exact"/>
        <w:ind w:firstLine="0"/>
        <w:rPr>
          <w:b/>
          <w:szCs w:val="18"/>
          <w:lang w:val="es-MX"/>
        </w:rPr>
      </w:pPr>
    </w:p>
    <w:p w14:paraId="620EF9D9" w14:textId="437D1113" w:rsidR="00AC7F8A" w:rsidRDefault="00AC7F8A" w:rsidP="00AC7F8A">
      <w:pPr>
        <w:pStyle w:val="Texto"/>
        <w:spacing w:after="0" w:line="240" w:lineRule="exact"/>
        <w:rPr>
          <w:szCs w:val="18"/>
          <w:lang w:val="es-MX"/>
        </w:rPr>
      </w:pPr>
      <w:r>
        <w:rPr>
          <w:szCs w:val="18"/>
          <w:lang w:val="es-MX"/>
        </w:rPr>
        <w:t xml:space="preserve">Al </w:t>
      </w:r>
      <w:r w:rsidR="0048534C">
        <w:rPr>
          <w:szCs w:val="18"/>
          <w:lang w:val="es-MX"/>
        </w:rPr>
        <w:t>periodo que se informa</w:t>
      </w:r>
      <w:r w:rsidR="0062599C">
        <w:rPr>
          <w:szCs w:val="18"/>
          <w:lang w:val="es-MX"/>
        </w:rPr>
        <w:t>,</w:t>
      </w:r>
      <w:r w:rsidRPr="00733E22">
        <w:rPr>
          <w:szCs w:val="18"/>
          <w:lang w:val="es-MX"/>
        </w:rPr>
        <w:t xml:space="preserve"> </w:t>
      </w:r>
      <w:r>
        <w:rPr>
          <w:szCs w:val="18"/>
          <w:lang w:val="es-MX"/>
        </w:rPr>
        <w:t>se</w:t>
      </w:r>
      <w:r w:rsidRPr="00733E22">
        <w:rPr>
          <w:szCs w:val="18"/>
          <w:lang w:val="es-MX"/>
        </w:rPr>
        <w:t xml:space="preserve"> utiliza</w:t>
      </w:r>
      <w:r w:rsidR="0048534C">
        <w:rPr>
          <w:szCs w:val="18"/>
          <w:lang w:val="es-MX"/>
        </w:rPr>
        <w:t>ro</w:t>
      </w:r>
      <w:r w:rsidRPr="00733E22">
        <w:rPr>
          <w:szCs w:val="18"/>
          <w:lang w:val="es-MX"/>
        </w:rPr>
        <w:t xml:space="preserve">n </w:t>
      </w:r>
      <w:r w:rsidR="0048534C">
        <w:rPr>
          <w:szCs w:val="18"/>
          <w:lang w:val="es-MX"/>
        </w:rPr>
        <w:t xml:space="preserve">las </w:t>
      </w:r>
      <w:r w:rsidRPr="00733E22">
        <w:rPr>
          <w:szCs w:val="18"/>
          <w:lang w:val="es-MX"/>
        </w:rPr>
        <w:t>cuentas de orden</w:t>
      </w:r>
      <w:r>
        <w:rPr>
          <w:szCs w:val="18"/>
          <w:lang w:val="es-MX"/>
        </w:rPr>
        <w:t xml:space="preserve"> contable</w:t>
      </w:r>
      <w:r w:rsidR="00232EA6">
        <w:rPr>
          <w:szCs w:val="18"/>
          <w:lang w:val="es-MX"/>
        </w:rPr>
        <w:t>s</w:t>
      </w:r>
      <w:r w:rsidR="0048534C">
        <w:rPr>
          <w:szCs w:val="18"/>
          <w:lang w:val="es-MX"/>
        </w:rPr>
        <w:t xml:space="preserve"> siguientes para presentar el valor del almacén, el cual </w:t>
      </w:r>
      <w:r w:rsidR="0048534C" w:rsidRPr="00630DB0">
        <w:rPr>
          <w:lang w:val="es-MX"/>
        </w:rPr>
        <w:t>se encuentra valuad</w:t>
      </w:r>
      <w:r w:rsidR="0048534C">
        <w:rPr>
          <w:lang w:val="es-MX"/>
        </w:rPr>
        <w:t>o</w:t>
      </w:r>
      <w:r w:rsidR="0048534C" w:rsidRPr="00630DB0">
        <w:rPr>
          <w:lang w:val="es-MX"/>
        </w:rPr>
        <w:t xml:space="preserve"> </w:t>
      </w:r>
      <w:r w:rsidR="0048534C">
        <w:rPr>
          <w:lang w:val="es-MX"/>
        </w:rPr>
        <w:t>bajo el método de</w:t>
      </w:r>
      <w:r w:rsidR="0048534C" w:rsidRPr="00630DB0">
        <w:rPr>
          <w:lang w:val="es-MX"/>
        </w:rPr>
        <w:t xml:space="preserve"> </w:t>
      </w:r>
      <w:r w:rsidR="0048534C">
        <w:rPr>
          <w:lang w:val="es-MX"/>
        </w:rPr>
        <w:t>primeras entradas-primeras salidas</w:t>
      </w:r>
      <w:r>
        <w:rPr>
          <w:szCs w:val="18"/>
          <w:lang w:val="es-MX"/>
        </w:rPr>
        <w:t>:</w:t>
      </w:r>
    </w:p>
    <w:p w14:paraId="620EF9DA" w14:textId="77777777" w:rsidR="00AC7F8A" w:rsidRDefault="00AC7F8A" w:rsidP="00AC7F8A">
      <w:pPr>
        <w:pStyle w:val="Texto"/>
        <w:spacing w:after="0" w:line="240" w:lineRule="exact"/>
        <w:rPr>
          <w:szCs w:val="18"/>
          <w:lang w:val="es-MX"/>
        </w:rPr>
      </w:pPr>
    </w:p>
    <w:p w14:paraId="620EF9DC" w14:textId="77777777" w:rsidR="00AC7F8A" w:rsidRDefault="00AC7F8A" w:rsidP="00AC7F8A">
      <w:pPr>
        <w:pStyle w:val="Texto"/>
        <w:spacing w:after="0" w:line="240" w:lineRule="exact"/>
        <w:rPr>
          <w:szCs w:val="18"/>
          <w:lang w:val="es-MX"/>
        </w:rPr>
      </w:pPr>
    </w:p>
    <w:tbl>
      <w:tblPr>
        <w:tblStyle w:val="Tablaconcuadrcula"/>
        <w:tblW w:w="8075" w:type="dxa"/>
        <w:jc w:val="center"/>
        <w:tblLook w:val="04A0" w:firstRow="1" w:lastRow="0" w:firstColumn="1" w:lastColumn="0" w:noHBand="0" w:noVBand="1"/>
      </w:tblPr>
      <w:tblGrid>
        <w:gridCol w:w="6374"/>
        <w:gridCol w:w="1701"/>
      </w:tblGrid>
      <w:tr w:rsidR="003E1FD7" w:rsidRPr="00336D6C" w14:paraId="16581DC9" w14:textId="77777777" w:rsidTr="00336D6C">
        <w:trPr>
          <w:trHeight w:val="285"/>
          <w:jc w:val="center"/>
        </w:trPr>
        <w:tc>
          <w:tcPr>
            <w:tcW w:w="6374" w:type="dxa"/>
          </w:tcPr>
          <w:p w14:paraId="651BE207" w14:textId="0C7FA64E" w:rsidR="003E1FD7" w:rsidRPr="00336D6C" w:rsidRDefault="003E1FD7" w:rsidP="00336D6C">
            <w:pP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Concepto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BB0267" w14:textId="21693ED4" w:rsidR="003E1FD7" w:rsidRPr="00336D6C" w:rsidRDefault="003E1FD7" w:rsidP="003E1FD7">
            <w:pPr>
              <w:jc w:val="center"/>
              <w:rPr>
                <w:rFonts w:ascii="Arial" w:hAnsi="Arial" w:cs="Arial"/>
                <w:color w:val="000000"/>
                <w:sz w:val="18"/>
                <w:szCs w:val="18"/>
              </w:rPr>
            </w:pPr>
            <w:r>
              <w:rPr>
                <w:rFonts w:ascii="Arial" w:hAnsi="Arial" w:cs="Arial"/>
                <w:color w:val="000000"/>
                <w:sz w:val="18"/>
                <w:szCs w:val="18"/>
              </w:rPr>
              <w:t>Importe</w:t>
            </w:r>
          </w:p>
        </w:tc>
      </w:tr>
      <w:tr w:rsidR="00D1094D" w:rsidRPr="00336D6C" w14:paraId="620EF9DF" w14:textId="4F908E94" w:rsidTr="00336D6C">
        <w:trPr>
          <w:trHeight w:val="285"/>
          <w:jc w:val="center"/>
        </w:trPr>
        <w:tc>
          <w:tcPr>
            <w:tcW w:w="6374" w:type="dxa"/>
            <w:hideMark/>
          </w:tcPr>
          <w:p w14:paraId="620EF9DD" w14:textId="681E4C70" w:rsidR="00D1094D" w:rsidRPr="00336D6C" w:rsidRDefault="00D1094D" w:rsidP="00336D6C">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Materiales de administración, emisión de documentos y artículos oficiales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BA949C" w14:textId="47C6AF43" w:rsidR="00D1094D" w:rsidRPr="00336D6C" w:rsidRDefault="00D1094D" w:rsidP="00336D6C">
            <w:pPr>
              <w:jc w:val="right"/>
              <w:rPr>
                <w:rFonts w:ascii="Arial" w:eastAsia="Times New Roman" w:hAnsi="Arial" w:cs="Arial"/>
                <w:color w:val="000000"/>
                <w:sz w:val="18"/>
                <w:szCs w:val="18"/>
                <w:lang w:eastAsia="es-MX"/>
              </w:rPr>
            </w:pPr>
            <w:r w:rsidRPr="00336D6C">
              <w:rPr>
                <w:rFonts w:ascii="Arial" w:hAnsi="Arial" w:cs="Arial"/>
                <w:color w:val="000000"/>
                <w:sz w:val="18"/>
                <w:szCs w:val="18"/>
              </w:rPr>
              <w:t>9,840,857.46</w:t>
            </w:r>
          </w:p>
        </w:tc>
      </w:tr>
      <w:tr w:rsidR="00D1094D" w:rsidRPr="00336D6C" w14:paraId="620EF9E2" w14:textId="4BE42480" w:rsidTr="00336D6C">
        <w:trPr>
          <w:trHeight w:val="285"/>
          <w:jc w:val="center"/>
        </w:trPr>
        <w:tc>
          <w:tcPr>
            <w:tcW w:w="6374" w:type="dxa"/>
          </w:tcPr>
          <w:p w14:paraId="620EF9E0" w14:textId="0CAE1CB5" w:rsidR="00D1094D" w:rsidRPr="00336D6C" w:rsidRDefault="00D1094D" w:rsidP="00336D6C">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Alimentos y utensilios</w:t>
            </w:r>
          </w:p>
        </w:tc>
        <w:tc>
          <w:tcPr>
            <w:tcW w:w="1701" w:type="dxa"/>
            <w:tcBorders>
              <w:top w:val="nil"/>
              <w:left w:val="single" w:sz="4" w:space="0" w:color="000000"/>
              <w:bottom w:val="single" w:sz="4" w:space="0" w:color="000000"/>
              <w:right w:val="single" w:sz="4" w:space="0" w:color="000000"/>
            </w:tcBorders>
            <w:shd w:val="clear" w:color="auto" w:fill="auto"/>
          </w:tcPr>
          <w:p w14:paraId="0A5917D9" w14:textId="5D31576D" w:rsidR="00D1094D" w:rsidRPr="00336D6C" w:rsidRDefault="00D1094D" w:rsidP="00336D6C">
            <w:pPr>
              <w:jc w:val="right"/>
              <w:rPr>
                <w:rFonts w:ascii="Arial" w:eastAsia="Times New Roman" w:hAnsi="Arial" w:cs="Arial"/>
                <w:color w:val="000000"/>
                <w:sz w:val="18"/>
                <w:szCs w:val="18"/>
                <w:lang w:eastAsia="es-MX"/>
              </w:rPr>
            </w:pPr>
            <w:r w:rsidRPr="00336D6C">
              <w:rPr>
                <w:rFonts w:ascii="Arial" w:hAnsi="Arial" w:cs="Arial"/>
                <w:color w:val="000000"/>
                <w:sz w:val="18"/>
                <w:szCs w:val="18"/>
              </w:rPr>
              <w:t>0</w:t>
            </w:r>
            <w:r w:rsidR="003E1FD7">
              <w:rPr>
                <w:rFonts w:ascii="Arial" w:hAnsi="Arial" w:cs="Arial"/>
                <w:color w:val="000000"/>
                <w:sz w:val="18"/>
                <w:szCs w:val="18"/>
              </w:rPr>
              <w:t>.00</w:t>
            </w:r>
          </w:p>
        </w:tc>
      </w:tr>
      <w:tr w:rsidR="00D1094D" w:rsidRPr="00336D6C" w14:paraId="569F47F9" w14:textId="16F48F0A" w:rsidTr="00336D6C">
        <w:trPr>
          <w:trHeight w:val="285"/>
          <w:jc w:val="center"/>
        </w:trPr>
        <w:tc>
          <w:tcPr>
            <w:tcW w:w="6374" w:type="dxa"/>
          </w:tcPr>
          <w:p w14:paraId="099E6CAF" w14:textId="73AD16F5" w:rsidR="00D1094D" w:rsidRPr="00336D6C" w:rsidRDefault="00D1094D" w:rsidP="00336D6C">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Materiales y artículos de construcción y de reparación</w:t>
            </w:r>
          </w:p>
        </w:tc>
        <w:tc>
          <w:tcPr>
            <w:tcW w:w="1701" w:type="dxa"/>
            <w:tcBorders>
              <w:top w:val="nil"/>
              <w:left w:val="single" w:sz="4" w:space="0" w:color="000000"/>
              <w:bottom w:val="single" w:sz="4" w:space="0" w:color="000000"/>
              <w:right w:val="single" w:sz="4" w:space="0" w:color="000000"/>
            </w:tcBorders>
            <w:shd w:val="clear" w:color="auto" w:fill="auto"/>
          </w:tcPr>
          <w:p w14:paraId="3F2036BE" w14:textId="750FBEA1" w:rsidR="00D1094D" w:rsidRPr="00336D6C" w:rsidRDefault="00D1094D" w:rsidP="00336D6C">
            <w:pPr>
              <w:jc w:val="right"/>
              <w:rPr>
                <w:rFonts w:ascii="Arial" w:eastAsia="Times New Roman" w:hAnsi="Arial" w:cs="Arial"/>
                <w:color w:val="000000"/>
                <w:sz w:val="18"/>
                <w:szCs w:val="18"/>
                <w:lang w:eastAsia="es-MX"/>
              </w:rPr>
            </w:pPr>
            <w:r w:rsidRPr="00336D6C">
              <w:rPr>
                <w:rFonts w:ascii="Arial" w:hAnsi="Arial" w:cs="Arial"/>
                <w:color w:val="000000"/>
                <w:sz w:val="18"/>
                <w:szCs w:val="18"/>
              </w:rPr>
              <w:t>6,800.00</w:t>
            </w:r>
          </w:p>
        </w:tc>
      </w:tr>
      <w:tr w:rsidR="00D1094D" w:rsidRPr="00336D6C" w14:paraId="620EF9E5" w14:textId="51E0F522" w:rsidTr="00336D6C">
        <w:trPr>
          <w:trHeight w:val="285"/>
          <w:jc w:val="center"/>
        </w:trPr>
        <w:tc>
          <w:tcPr>
            <w:tcW w:w="6374" w:type="dxa"/>
            <w:hideMark/>
          </w:tcPr>
          <w:p w14:paraId="620EF9E3" w14:textId="48CE8EEE" w:rsidR="00D1094D" w:rsidRPr="00336D6C" w:rsidRDefault="00D1094D" w:rsidP="00336D6C">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Productos químicos, farmacéuticos y de laboratorio</w:t>
            </w:r>
          </w:p>
        </w:tc>
        <w:tc>
          <w:tcPr>
            <w:tcW w:w="1701" w:type="dxa"/>
            <w:tcBorders>
              <w:top w:val="nil"/>
              <w:left w:val="single" w:sz="4" w:space="0" w:color="000000"/>
              <w:bottom w:val="single" w:sz="4" w:space="0" w:color="000000"/>
              <w:right w:val="single" w:sz="4" w:space="0" w:color="000000"/>
            </w:tcBorders>
            <w:shd w:val="clear" w:color="auto" w:fill="auto"/>
          </w:tcPr>
          <w:p w14:paraId="3E28F896" w14:textId="78111022" w:rsidR="00D1094D" w:rsidRPr="00336D6C" w:rsidRDefault="00D1094D" w:rsidP="00336D6C">
            <w:pPr>
              <w:jc w:val="right"/>
              <w:rPr>
                <w:rFonts w:ascii="Arial" w:eastAsia="Times New Roman" w:hAnsi="Arial" w:cs="Arial"/>
                <w:color w:val="000000"/>
                <w:sz w:val="18"/>
                <w:szCs w:val="18"/>
                <w:lang w:eastAsia="es-MX"/>
              </w:rPr>
            </w:pPr>
            <w:r w:rsidRPr="00336D6C">
              <w:rPr>
                <w:rFonts w:ascii="Arial" w:hAnsi="Arial" w:cs="Arial"/>
                <w:color w:val="000000"/>
                <w:sz w:val="18"/>
                <w:szCs w:val="18"/>
              </w:rPr>
              <w:t>156,136,770.73</w:t>
            </w:r>
          </w:p>
        </w:tc>
      </w:tr>
      <w:tr w:rsidR="00D1094D" w:rsidRPr="00336D6C" w14:paraId="620EF9E8" w14:textId="44D56729" w:rsidTr="00336D6C">
        <w:trPr>
          <w:trHeight w:val="257"/>
          <w:jc w:val="center"/>
        </w:trPr>
        <w:tc>
          <w:tcPr>
            <w:tcW w:w="6374" w:type="dxa"/>
            <w:hideMark/>
          </w:tcPr>
          <w:p w14:paraId="620EF9E6" w14:textId="57AADCE6" w:rsidR="00D1094D" w:rsidRPr="00336D6C" w:rsidRDefault="00D1094D" w:rsidP="00336D6C">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Vestuario, blancos, prendas de protección y artículos deportivos</w:t>
            </w:r>
          </w:p>
        </w:tc>
        <w:tc>
          <w:tcPr>
            <w:tcW w:w="1701" w:type="dxa"/>
            <w:tcBorders>
              <w:top w:val="nil"/>
              <w:left w:val="single" w:sz="4" w:space="0" w:color="000000"/>
              <w:bottom w:val="single" w:sz="4" w:space="0" w:color="000000"/>
              <w:right w:val="single" w:sz="4" w:space="0" w:color="000000"/>
            </w:tcBorders>
            <w:shd w:val="clear" w:color="auto" w:fill="auto"/>
          </w:tcPr>
          <w:p w14:paraId="49E37379" w14:textId="41A4ED0D" w:rsidR="00D1094D" w:rsidRPr="00336D6C" w:rsidRDefault="00D1094D" w:rsidP="00336D6C">
            <w:pPr>
              <w:jc w:val="right"/>
              <w:rPr>
                <w:rFonts w:ascii="Arial" w:eastAsia="Times New Roman" w:hAnsi="Arial" w:cs="Arial"/>
                <w:color w:val="000000"/>
                <w:sz w:val="18"/>
                <w:szCs w:val="18"/>
                <w:lang w:eastAsia="es-MX"/>
              </w:rPr>
            </w:pPr>
            <w:r w:rsidRPr="00336D6C">
              <w:rPr>
                <w:rFonts w:ascii="Arial" w:hAnsi="Arial" w:cs="Arial"/>
                <w:color w:val="000000"/>
                <w:sz w:val="18"/>
                <w:szCs w:val="18"/>
              </w:rPr>
              <w:t>5,389,230.54</w:t>
            </w:r>
          </w:p>
        </w:tc>
      </w:tr>
      <w:tr w:rsidR="00D1094D" w:rsidRPr="00336D6C" w14:paraId="620EF9EB" w14:textId="35D1D228" w:rsidTr="00336D6C">
        <w:trPr>
          <w:trHeight w:val="257"/>
          <w:jc w:val="center"/>
        </w:trPr>
        <w:tc>
          <w:tcPr>
            <w:tcW w:w="6374" w:type="dxa"/>
          </w:tcPr>
          <w:p w14:paraId="620EF9E9" w14:textId="6F2B8F8B" w:rsidR="00D1094D" w:rsidRPr="00336D6C" w:rsidRDefault="00D1094D" w:rsidP="00336D6C">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Herramientas, refacciones y accesorios menores</w:t>
            </w:r>
          </w:p>
        </w:tc>
        <w:tc>
          <w:tcPr>
            <w:tcW w:w="1701" w:type="dxa"/>
            <w:tcBorders>
              <w:top w:val="nil"/>
              <w:left w:val="single" w:sz="4" w:space="0" w:color="000000"/>
              <w:bottom w:val="single" w:sz="4" w:space="0" w:color="000000"/>
              <w:right w:val="single" w:sz="4" w:space="0" w:color="000000"/>
            </w:tcBorders>
            <w:shd w:val="clear" w:color="auto" w:fill="auto"/>
          </w:tcPr>
          <w:p w14:paraId="4D782345" w14:textId="6F26D992" w:rsidR="00D1094D" w:rsidRPr="00336D6C" w:rsidRDefault="00D1094D" w:rsidP="00336D6C">
            <w:pPr>
              <w:jc w:val="right"/>
              <w:rPr>
                <w:rFonts w:ascii="Arial" w:eastAsia="Times New Roman" w:hAnsi="Arial" w:cs="Arial"/>
                <w:color w:val="000000"/>
                <w:sz w:val="18"/>
                <w:szCs w:val="18"/>
                <w:lang w:eastAsia="es-MX"/>
              </w:rPr>
            </w:pPr>
            <w:r w:rsidRPr="00336D6C">
              <w:rPr>
                <w:rFonts w:ascii="Arial" w:hAnsi="Arial" w:cs="Arial"/>
                <w:color w:val="000000"/>
                <w:sz w:val="18"/>
                <w:szCs w:val="18"/>
              </w:rPr>
              <w:t>131,232.00</w:t>
            </w:r>
          </w:p>
        </w:tc>
      </w:tr>
    </w:tbl>
    <w:p w14:paraId="620EF9EC" w14:textId="77777777" w:rsidR="00AC7F8A" w:rsidRDefault="00AC7F8A" w:rsidP="00AC7F8A">
      <w:pPr>
        <w:pStyle w:val="Texto"/>
        <w:spacing w:after="0" w:line="240" w:lineRule="exact"/>
        <w:rPr>
          <w:szCs w:val="18"/>
          <w:lang w:val="es-MX"/>
        </w:rPr>
      </w:pPr>
    </w:p>
    <w:p w14:paraId="620EF9ED" w14:textId="403863CB" w:rsidR="00AC7F8A" w:rsidRDefault="0048534C" w:rsidP="00AC7F8A">
      <w:pPr>
        <w:pStyle w:val="Texto"/>
        <w:spacing w:after="0" w:line="240" w:lineRule="exact"/>
        <w:rPr>
          <w:szCs w:val="18"/>
          <w:lang w:val="es-MX"/>
        </w:rPr>
      </w:pPr>
      <w:r>
        <w:rPr>
          <w:szCs w:val="18"/>
          <w:lang w:val="es-MX"/>
        </w:rPr>
        <w:t>Al periodo que se informa</w:t>
      </w:r>
      <w:r w:rsidR="00CB3FA8" w:rsidRPr="00733E22">
        <w:rPr>
          <w:szCs w:val="18"/>
          <w:lang w:val="es-MX"/>
        </w:rPr>
        <w:t xml:space="preserve"> </w:t>
      </w:r>
      <w:r w:rsidR="00AC7F8A">
        <w:rPr>
          <w:szCs w:val="18"/>
          <w:lang w:val="es-MX"/>
        </w:rPr>
        <w:t>se</w:t>
      </w:r>
      <w:r w:rsidR="00AC7F8A" w:rsidRPr="00733E22">
        <w:rPr>
          <w:szCs w:val="18"/>
          <w:lang w:val="es-MX"/>
        </w:rPr>
        <w:t xml:space="preserve"> utiliza</w:t>
      </w:r>
      <w:r>
        <w:rPr>
          <w:szCs w:val="18"/>
          <w:lang w:val="es-MX"/>
        </w:rPr>
        <w:t>ro</w:t>
      </w:r>
      <w:r w:rsidR="00AC7F8A" w:rsidRPr="00733E22">
        <w:rPr>
          <w:szCs w:val="18"/>
          <w:lang w:val="es-MX"/>
        </w:rPr>
        <w:t xml:space="preserve">n </w:t>
      </w:r>
      <w:r>
        <w:rPr>
          <w:szCs w:val="18"/>
          <w:lang w:val="es-MX"/>
        </w:rPr>
        <w:t xml:space="preserve">las </w:t>
      </w:r>
      <w:r w:rsidR="00AC7F8A" w:rsidRPr="00733E22">
        <w:rPr>
          <w:szCs w:val="18"/>
          <w:lang w:val="es-MX"/>
        </w:rPr>
        <w:t>cuentas de orden</w:t>
      </w:r>
      <w:r w:rsidR="00AC7F8A">
        <w:rPr>
          <w:szCs w:val="18"/>
          <w:lang w:val="es-MX"/>
        </w:rPr>
        <w:t xml:space="preserve"> presupuestarias que se enlistan a continuación:</w:t>
      </w:r>
    </w:p>
    <w:p w14:paraId="620EF9EE" w14:textId="77777777" w:rsidR="00AC7F8A" w:rsidRDefault="00AC7F8A" w:rsidP="00AC7F8A">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AC7F8A" w:rsidRPr="00DC1457" w14:paraId="620EF9F0" w14:textId="77777777" w:rsidTr="00A0339D">
        <w:trPr>
          <w:trHeight w:val="285"/>
        </w:trPr>
        <w:tc>
          <w:tcPr>
            <w:tcW w:w="6618" w:type="dxa"/>
            <w:shd w:val="clear" w:color="auto" w:fill="auto"/>
            <w:vAlign w:val="bottom"/>
            <w:hideMark/>
          </w:tcPr>
          <w:p w14:paraId="620EF9E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AC7F8A" w:rsidRPr="00DC1457" w14:paraId="620EF9F2" w14:textId="77777777" w:rsidTr="00A0339D">
        <w:trPr>
          <w:trHeight w:val="285"/>
        </w:trPr>
        <w:tc>
          <w:tcPr>
            <w:tcW w:w="6618" w:type="dxa"/>
            <w:shd w:val="clear" w:color="auto" w:fill="auto"/>
            <w:vAlign w:val="bottom"/>
            <w:hideMark/>
          </w:tcPr>
          <w:p w14:paraId="620EF9F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ESTIMADA [LEY DE INGRESOS </w:t>
            </w:r>
            <w:proofErr w:type="gramStart"/>
            <w:r w:rsidRPr="00DC1457">
              <w:rPr>
                <w:rFonts w:ascii="Arial" w:eastAsia="Times New Roman" w:hAnsi="Arial" w:cs="Arial"/>
                <w:color w:val="000000"/>
                <w:sz w:val="18"/>
                <w:szCs w:val="18"/>
                <w:lang w:eastAsia="es-MX"/>
              </w:rPr>
              <w:t>ESTIMADA ]</w:t>
            </w:r>
            <w:proofErr w:type="gramEnd"/>
          </w:p>
        </w:tc>
      </w:tr>
      <w:tr w:rsidR="00AC7F8A" w:rsidRPr="00DC1457" w14:paraId="620EF9F4" w14:textId="77777777" w:rsidTr="00A0339D">
        <w:trPr>
          <w:trHeight w:val="285"/>
        </w:trPr>
        <w:tc>
          <w:tcPr>
            <w:tcW w:w="6618" w:type="dxa"/>
            <w:shd w:val="clear" w:color="auto" w:fill="auto"/>
            <w:vAlign w:val="bottom"/>
            <w:hideMark/>
          </w:tcPr>
          <w:p w14:paraId="620EF9F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POR EJECUTAR [LEY DE INGRESOS POR </w:t>
            </w:r>
            <w:proofErr w:type="gramStart"/>
            <w:r w:rsidRPr="00DC1457">
              <w:rPr>
                <w:rFonts w:ascii="Arial" w:eastAsia="Times New Roman" w:hAnsi="Arial" w:cs="Arial"/>
                <w:color w:val="000000"/>
                <w:sz w:val="18"/>
                <w:szCs w:val="18"/>
                <w:lang w:eastAsia="es-MX"/>
              </w:rPr>
              <w:t>EJECUTAR ]</w:t>
            </w:r>
            <w:proofErr w:type="gramEnd"/>
          </w:p>
        </w:tc>
      </w:tr>
      <w:tr w:rsidR="00AC7F8A" w:rsidRPr="00DC1457" w14:paraId="620EF9F6" w14:textId="77777777" w:rsidTr="00A0339D">
        <w:trPr>
          <w:trHeight w:val="285"/>
        </w:trPr>
        <w:tc>
          <w:tcPr>
            <w:tcW w:w="6618" w:type="dxa"/>
            <w:shd w:val="clear" w:color="auto" w:fill="auto"/>
            <w:vAlign w:val="bottom"/>
            <w:hideMark/>
          </w:tcPr>
          <w:p w14:paraId="620EF9F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AC7F8A" w:rsidRPr="00DC1457" w14:paraId="620EF9F8" w14:textId="77777777" w:rsidTr="00A0339D">
        <w:trPr>
          <w:trHeight w:val="285"/>
        </w:trPr>
        <w:tc>
          <w:tcPr>
            <w:tcW w:w="6618" w:type="dxa"/>
            <w:shd w:val="clear" w:color="auto" w:fill="auto"/>
            <w:vAlign w:val="bottom"/>
            <w:hideMark/>
          </w:tcPr>
          <w:p w14:paraId="620EF9F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DEVENGADA [LEY DE INGRESOS </w:t>
            </w:r>
            <w:proofErr w:type="gramStart"/>
            <w:r w:rsidRPr="00DC1457">
              <w:rPr>
                <w:rFonts w:ascii="Arial" w:eastAsia="Times New Roman" w:hAnsi="Arial" w:cs="Arial"/>
                <w:color w:val="000000"/>
                <w:sz w:val="18"/>
                <w:szCs w:val="18"/>
                <w:lang w:eastAsia="es-MX"/>
              </w:rPr>
              <w:t>DEVENGADA ]</w:t>
            </w:r>
            <w:proofErr w:type="gramEnd"/>
          </w:p>
        </w:tc>
      </w:tr>
      <w:tr w:rsidR="00AC7F8A" w:rsidRPr="00DC1457" w14:paraId="620EF9FA" w14:textId="77777777" w:rsidTr="00A0339D">
        <w:trPr>
          <w:trHeight w:val="285"/>
        </w:trPr>
        <w:tc>
          <w:tcPr>
            <w:tcW w:w="6618" w:type="dxa"/>
            <w:shd w:val="clear" w:color="auto" w:fill="auto"/>
            <w:vAlign w:val="bottom"/>
            <w:hideMark/>
          </w:tcPr>
          <w:p w14:paraId="620EF9F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RECAUDADA [LEY DE INGRESOS </w:t>
            </w:r>
            <w:proofErr w:type="gramStart"/>
            <w:r w:rsidRPr="00DC1457">
              <w:rPr>
                <w:rFonts w:ascii="Arial" w:eastAsia="Times New Roman" w:hAnsi="Arial" w:cs="Arial"/>
                <w:color w:val="000000"/>
                <w:sz w:val="18"/>
                <w:szCs w:val="18"/>
                <w:lang w:eastAsia="es-MX"/>
              </w:rPr>
              <w:t>RECAUDADA ]</w:t>
            </w:r>
            <w:proofErr w:type="gramEnd"/>
          </w:p>
        </w:tc>
      </w:tr>
      <w:tr w:rsidR="00AC7F8A" w:rsidRPr="00DC1457" w14:paraId="620EF9FC" w14:textId="77777777" w:rsidTr="00A0339D">
        <w:trPr>
          <w:trHeight w:val="285"/>
        </w:trPr>
        <w:tc>
          <w:tcPr>
            <w:tcW w:w="6618" w:type="dxa"/>
            <w:shd w:val="clear" w:color="auto" w:fill="auto"/>
            <w:vAlign w:val="bottom"/>
          </w:tcPr>
          <w:p w14:paraId="620EF9FB" w14:textId="77777777" w:rsidR="00AC7F8A" w:rsidRPr="00DC1457" w:rsidRDefault="00AC7F8A" w:rsidP="00AD6257">
            <w:pPr>
              <w:spacing w:after="0" w:line="240" w:lineRule="auto"/>
              <w:rPr>
                <w:rFonts w:ascii="Arial" w:eastAsia="Times New Roman" w:hAnsi="Arial" w:cs="Arial"/>
                <w:color w:val="000000"/>
                <w:sz w:val="18"/>
                <w:szCs w:val="18"/>
                <w:lang w:eastAsia="es-MX"/>
              </w:rPr>
            </w:pPr>
          </w:p>
        </w:tc>
      </w:tr>
      <w:tr w:rsidR="00AC7F8A" w:rsidRPr="00DC1457" w14:paraId="620EF9FE" w14:textId="77777777" w:rsidTr="00A0339D">
        <w:trPr>
          <w:trHeight w:val="285"/>
        </w:trPr>
        <w:tc>
          <w:tcPr>
            <w:tcW w:w="6618" w:type="dxa"/>
            <w:shd w:val="clear" w:color="auto" w:fill="auto"/>
            <w:vAlign w:val="bottom"/>
            <w:hideMark/>
          </w:tcPr>
          <w:p w14:paraId="620EF9FD"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AC7F8A" w:rsidRPr="00DC1457" w14:paraId="620EFA00" w14:textId="77777777" w:rsidTr="00A0339D">
        <w:trPr>
          <w:trHeight w:val="285"/>
        </w:trPr>
        <w:tc>
          <w:tcPr>
            <w:tcW w:w="6618" w:type="dxa"/>
            <w:shd w:val="clear" w:color="auto" w:fill="auto"/>
            <w:vAlign w:val="bottom"/>
            <w:hideMark/>
          </w:tcPr>
          <w:p w14:paraId="620EF9F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AC7F8A" w:rsidRPr="00DC1457" w14:paraId="620EFA02" w14:textId="77777777" w:rsidTr="00A0339D">
        <w:trPr>
          <w:trHeight w:val="285"/>
        </w:trPr>
        <w:tc>
          <w:tcPr>
            <w:tcW w:w="6618" w:type="dxa"/>
            <w:shd w:val="clear" w:color="auto" w:fill="auto"/>
            <w:vAlign w:val="bottom"/>
            <w:hideMark/>
          </w:tcPr>
          <w:p w14:paraId="620EFA0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AC7F8A" w:rsidRPr="00DC1457" w14:paraId="620EFA04" w14:textId="77777777" w:rsidTr="00A0339D">
        <w:trPr>
          <w:trHeight w:val="285"/>
        </w:trPr>
        <w:tc>
          <w:tcPr>
            <w:tcW w:w="6618" w:type="dxa"/>
            <w:shd w:val="clear" w:color="auto" w:fill="auto"/>
            <w:vAlign w:val="bottom"/>
            <w:hideMark/>
          </w:tcPr>
          <w:p w14:paraId="620EFA0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AC7F8A" w:rsidRPr="00DC1457" w14:paraId="620EFA06" w14:textId="77777777" w:rsidTr="00A0339D">
        <w:trPr>
          <w:trHeight w:val="285"/>
        </w:trPr>
        <w:tc>
          <w:tcPr>
            <w:tcW w:w="6618" w:type="dxa"/>
            <w:shd w:val="clear" w:color="auto" w:fill="auto"/>
            <w:vAlign w:val="bottom"/>
            <w:hideMark/>
          </w:tcPr>
          <w:p w14:paraId="620EFA0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AC7F8A" w:rsidRPr="00DC1457" w14:paraId="620EFA08" w14:textId="77777777" w:rsidTr="00A0339D">
        <w:trPr>
          <w:trHeight w:val="285"/>
        </w:trPr>
        <w:tc>
          <w:tcPr>
            <w:tcW w:w="6618" w:type="dxa"/>
            <w:shd w:val="clear" w:color="auto" w:fill="auto"/>
            <w:vAlign w:val="bottom"/>
            <w:hideMark/>
          </w:tcPr>
          <w:p w14:paraId="620EFA0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AC7F8A" w:rsidRPr="00DC1457" w14:paraId="620EFA0A" w14:textId="77777777" w:rsidTr="00A0339D">
        <w:trPr>
          <w:trHeight w:val="285"/>
        </w:trPr>
        <w:tc>
          <w:tcPr>
            <w:tcW w:w="6618" w:type="dxa"/>
            <w:shd w:val="clear" w:color="auto" w:fill="auto"/>
            <w:vAlign w:val="bottom"/>
            <w:hideMark/>
          </w:tcPr>
          <w:p w14:paraId="620EFA0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AC7F8A" w:rsidRPr="00DC1457" w14:paraId="620EFA0C" w14:textId="77777777" w:rsidTr="00A0339D">
        <w:trPr>
          <w:trHeight w:val="285"/>
        </w:trPr>
        <w:tc>
          <w:tcPr>
            <w:tcW w:w="6618" w:type="dxa"/>
            <w:shd w:val="clear" w:color="auto" w:fill="auto"/>
            <w:vAlign w:val="bottom"/>
            <w:hideMark/>
          </w:tcPr>
          <w:p w14:paraId="620EFA0B"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620EFA0D" w14:textId="77777777" w:rsidR="00AC7F8A" w:rsidRPr="00630DB0" w:rsidRDefault="00AC7F8A" w:rsidP="00AC7F8A">
      <w:pPr>
        <w:pStyle w:val="Texto"/>
        <w:spacing w:after="0" w:line="240" w:lineRule="exact"/>
        <w:rPr>
          <w:szCs w:val="18"/>
          <w:lang w:val="es-MX"/>
        </w:rPr>
      </w:pPr>
      <w:r>
        <w:rPr>
          <w:szCs w:val="18"/>
          <w:lang w:val="es-MX"/>
        </w:rPr>
        <w:br w:type="textWrapping" w:clear="all"/>
      </w:r>
    </w:p>
    <w:p w14:paraId="620EFA0E" w14:textId="77777777" w:rsidR="00AC7F8A" w:rsidRDefault="00AC7F8A" w:rsidP="00AC7F8A">
      <w:pPr>
        <w:pStyle w:val="Texto"/>
        <w:spacing w:after="0" w:line="240" w:lineRule="exact"/>
        <w:rPr>
          <w:szCs w:val="18"/>
          <w:lang w:val="es-MX"/>
        </w:rPr>
      </w:pPr>
    </w:p>
    <w:p w14:paraId="620EFA0F" w14:textId="39C111A9" w:rsidR="00A0339D" w:rsidRDefault="00A0339D" w:rsidP="00AC7F8A">
      <w:pPr>
        <w:pStyle w:val="Texto"/>
        <w:spacing w:after="0" w:line="240" w:lineRule="exact"/>
        <w:rPr>
          <w:szCs w:val="18"/>
          <w:lang w:val="es-MX"/>
        </w:rPr>
      </w:pPr>
    </w:p>
    <w:p w14:paraId="3ECF47BA" w14:textId="77777777" w:rsidR="001A7F34" w:rsidRDefault="001A7F34" w:rsidP="00AC7F8A">
      <w:pPr>
        <w:pStyle w:val="Texto"/>
        <w:spacing w:after="0" w:line="240" w:lineRule="exact"/>
        <w:rPr>
          <w:szCs w:val="18"/>
          <w:lang w:val="es-MX"/>
        </w:rPr>
      </w:pPr>
    </w:p>
    <w:p w14:paraId="620EFA11" w14:textId="77777777" w:rsidR="00AC7F8A" w:rsidRPr="00630DB0" w:rsidRDefault="00AC7F8A" w:rsidP="00AC7F8A">
      <w:pPr>
        <w:pStyle w:val="Texto"/>
        <w:spacing w:after="0" w:line="240" w:lineRule="exact"/>
        <w:ind w:firstLine="0"/>
        <w:jc w:val="center"/>
        <w:rPr>
          <w:b/>
          <w:szCs w:val="18"/>
          <w:lang w:val="es-MX"/>
        </w:rPr>
      </w:pPr>
      <w:r w:rsidRPr="00630DB0">
        <w:rPr>
          <w:b/>
          <w:szCs w:val="18"/>
          <w:lang w:val="es-MX"/>
        </w:rPr>
        <w:t>c) NOTAS DE GESTIÓN ADMINISTRATIVA</w:t>
      </w:r>
    </w:p>
    <w:p w14:paraId="620EFA12" w14:textId="77777777" w:rsidR="00AC7F8A" w:rsidRPr="00630DB0" w:rsidRDefault="00AC7F8A" w:rsidP="00AC7F8A">
      <w:pPr>
        <w:pStyle w:val="Texto"/>
        <w:spacing w:after="0" w:line="240" w:lineRule="exact"/>
        <w:ind w:firstLine="0"/>
        <w:jc w:val="left"/>
        <w:rPr>
          <w:b/>
          <w:szCs w:val="18"/>
          <w:lang w:val="es-MX"/>
        </w:rPr>
      </w:pPr>
    </w:p>
    <w:p w14:paraId="620EFA13" w14:textId="77777777" w:rsidR="00AC7F8A" w:rsidRPr="00630DB0" w:rsidRDefault="00AC7F8A" w:rsidP="00AC7F8A">
      <w:pPr>
        <w:pStyle w:val="Texto"/>
        <w:spacing w:after="0" w:line="240" w:lineRule="exact"/>
        <w:rPr>
          <w:b/>
          <w:szCs w:val="18"/>
        </w:rPr>
      </w:pPr>
      <w:r w:rsidRPr="00630DB0">
        <w:rPr>
          <w:b/>
          <w:szCs w:val="18"/>
          <w:lang w:val="es-MX"/>
        </w:rPr>
        <w:t>Introducción</w:t>
      </w:r>
    </w:p>
    <w:p w14:paraId="620EFA14" w14:textId="20D00516" w:rsidR="00AC7F8A" w:rsidRPr="000C574E" w:rsidRDefault="00AC7F8A" w:rsidP="00AC7F8A">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sidR="003A5953">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sidR="00B86E68">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620EFA15" w14:textId="77777777" w:rsidR="00AC7F8A" w:rsidRPr="001F011E" w:rsidRDefault="00AC7F8A" w:rsidP="00AC7F8A">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620EFA16" w14:textId="77777777" w:rsidR="00AC7F8A" w:rsidRDefault="00AC7F8A" w:rsidP="00AC7F8A">
      <w:pPr>
        <w:pStyle w:val="Texto"/>
        <w:spacing w:after="0" w:line="240" w:lineRule="exact"/>
        <w:rPr>
          <w:szCs w:val="18"/>
        </w:rPr>
      </w:pPr>
    </w:p>
    <w:p w14:paraId="620EFA17" w14:textId="77777777" w:rsidR="00AC7F8A" w:rsidRPr="00630DB0" w:rsidRDefault="00AC7F8A" w:rsidP="00AC7F8A">
      <w:pPr>
        <w:pStyle w:val="Texto"/>
        <w:spacing w:after="0" w:line="240" w:lineRule="exact"/>
        <w:rPr>
          <w:b/>
          <w:szCs w:val="18"/>
          <w:lang w:val="es-MX"/>
        </w:rPr>
      </w:pPr>
      <w:r w:rsidRPr="00630DB0">
        <w:rPr>
          <w:b/>
          <w:szCs w:val="18"/>
          <w:lang w:val="es-MX"/>
        </w:rPr>
        <w:t>Panorama Económico y Financiero</w:t>
      </w:r>
    </w:p>
    <w:p w14:paraId="620EFA18" w14:textId="5CD85C34" w:rsidR="00AC7F8A" w:rsidRPr="00630DB0" w:rsidRDefault="00AC7F8A" w:rsidP="00AC7F8A">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sidR="00273C91">
        <w:rPr>
          <w:szCs w:val="18"/>
        </w:rPr>
        <w:t>la principal fuente de financiamiento de los</w:t>
      </w:r>
      <w:r w:rsidR="00273C91" w:rsidRPr="00630DB0">
        <w:rPr>
          <w:szCs w:val="18"/>
        </w:rPr>
        <w:t xml:space="preserve"> recursos destinados para su operación es</w:t>
      </w:r>
      <w:r w:rsidRPr="00630DB0">
        <w:rPr>
          <w:szCs w:val="18"/>
        </w:rPr>
        <w:t xml:space="preserve"> de carácter federal</w:t>
      </w:r>
      <w:r w:rsidR="003966F6">
        <w:rPr>
          <w:szCs w:val="18"/>
        </w:rPr>
        <w:t>,</w:t>
      </w:r>
      <w:r w:rsidRPr="00630DB0">
        <w:rPr>
          <w:szCs w:val="18"/>
        </w:rPr>
        <w:t xml:space="preserve"> y </w:t>
      </w:r>
      <w:r w:rsidR="00273C91">
        <w:rPr>
          <w:szCs w:val="18"/>
        </w:rPr>
        <w:t>de manera complementaria</w:t>
      </w:r>
      <w:r w:rsidR="003966F6">
        <w:rPr>
          <w:szCs w:val="18"/>
        </w:rPr>
        <w:t xml:space="preserve"> los</w:t>
      </w:r>
      <w:r w:rsidRPr="00630DB0">
        <w:rPr>
          <w:szCs w:val="18"/>
        </w:rPr>
        <w:t xml:space="preserve"> </w:t>
      </w:r>
      <w:r w:rsidR="00273C91">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w:t>
      </w:r>
      <w:r w:rsidR="00112900" w:rsidRPr="00630DB0">
        <w:rPr>
          <w:szCs w:val="18"/>
        </w:rPr>
        <w:t>estos</w:t>
      </w:r>
      <w:r w:rsidRPr="00630DB0">
        <w:rPr>
          <w:szCs w:val="18"/>
        </w:rPr>
        <w:t xml:space="preserve">;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620EFA19" w14:textId="77777777" w:rsidR="00AC7F8A" w:rsidRPr="00630DB0" w:rsidRDefault="00AC7F8A" w:rsidP="00AC7F8A">
      <w:pPr>
        <w:pStyle w:val="Texto"/>
        <w:spacing w:after="0" w:line="240" w:lineRule="exact"/>
        <w:rPr>
          <w:szCs w:val="18"/>
        </w:rPr>
      </w:pPr>
    </w:p>
    <w:p w14:paraId="620EFA1A" w14:textId="77777777" w:rsidR="00AC7F8A" w:rsidRPr="00630DB0" w:rsidRDefault="00AC7F8A" w:rsidP="00AC7F8A">
      <w:pPr>
        <w:pStyle w:val="Texto"/>
        <w:spacing w:after="0" w:line="240" w:lineRule="exact"/>
        <w:rPr>
          <w:b/>
          <w:szCs w:val="18"/>
          <w:lang w:val="es-MX"/>
        </w:rPr>
      </w:pPr>
      <w:r w:rsidRPr="00630DB0">
        <w:rPr>
          <w:b/>
          <w:szCs w:val="18"/>
          <w:lang w:val="es-MX"/>
        </w:rPr>
        <w:t>Autorización e Historia</w:t>
      </w:r>
    </w:p>
    <w:p w14:paraId="620EFA1B" w14:textId="73561466" w:rsidR="00AC7F8A" w:rsidRPr="00630DB0" w:rsidRDefault="00AC7F8A" w:rsidP="00AC7F8A">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sidR="003966F6">
        <w:rPr>
          <w:szCs w:val="18"/>
        </w:rPr>
        <w:t>,</w:t>
      </w:r>
      <w:r w:rsidRPr="00630DB0">
        <w:rPr>
          <w:szCs w:val="18"/>
        </w:rPr>
        <w:t xml:space="preserve"> el cual fue derogado por la Ley de Salud del Estado de Tlaxcala de fecha 10 de noviembre del 2000 y que a la fecha se encuentra vigente.</w:t>
      </w:r>
    </w:p>
    <w:p w14:paraId="620EFA1C" w14:textId="77777777" w:rsidR="00AC7F8A" w:rsidRPr="00630DB0" w:rsidRDefault="00AC7F8A" w:rsidP="00AC7F8A">
      <w:pPr>
        <w:pStyle w:val="INCISO"/>
        <w:spacing w:after="0" w:line="240" w:lineRule="exact"/>
      </w:pPr>
    </w:p>
    <w:p w14:paraId="620EFA1D" w14:textId="77777777" w:rsidR="00AC7F8A" w:rsidRPr="00630DB0" w:rsidRDefault="00AC7F8A" w:rsidP="00AC7F8A">
      <w:pPr>
        <w:pStyle w:val="Texto"/>
        <w:spacing w:after="0" w:line="240" w:lineRule="exact"/>
        <w:rPr>
          <w:b/>
          <w:szCs w:val="18"/>
          <w:lang w:val="es-MX"/>
        </w:rPr>
      </w:pPr>
      <w:r w:rsidRPr="00630DB0">
        <w:rPr>
          <w:b/>
          <w:szCs w:val="18"/>
          <w:lang w:val="es-MX"/>
        </w:rPr>
        <w:t>Organización y Objeto Social</w:t>
      </w:r>
    </w:p>
    <w:p w14:paraId="620EFA1E" w14:textId="21F7D29E" w:rsidR="00AC7F8A" w:rsidRDefault="00AC7F8A" w:rsidP="00AC7F8A">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sidR="00B86E68">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620EFA1F" w14:textId="77777777" w:rsidR="00AC7F8A" w:rsidRDefault="00AC7F8A" w:rsidP="00AC7F8A">
      <w:pPr>
        <w:pStyle w:val="Texto"/>
        <w:spacing w:after="0" w:line="240" w:lineRule="exact"/>
        <w:ind w:firstLine="0"/>
        <w:rPr>
          <w:szCs w:val="18"/>
        </w:rPr>
      </w:pPr>
    </w:p>
    <w:p w14:paraId="620EFA20" w14:textId="35306516" w:rsidR="00AC7F8A" w:rsidRPr="00C53075" w:rsidRDefault="00AC7F8A" w:rsidP="00AC7F8A">
      <w:pPr>
        <w:pStyle w:val="Texto"/>
        <w:spacing w:after="0" w:line="240" w:lineRule="exact"/>
        <w:rPr>
          <w:szCs w:val="18"/>
        </w:rPr>
      </w:pPr>
      <w:r w:rsidRPr="00C53075">
        <w:rPr>
          <w:szCs w:val="18"/>
        </w:rPr>
        <w:t xml:space="preserve">El </w:t>
      </w:r>
      <w:r w:rsidR="00B86E68">
        <w:rPr>
          <w:szCs w:val="18"/>
        </w:rPr>
        <w:t>periodo</w:t>
      </w:r>
      <w:r w:rsidRPr="00C53075">
        <w:rPr>
          <w:szCs w:val="18"/>
        </w:rPr>
        <w:t xml:space="preserve"> que comprende </w:t>
      </w:r>
      <w:r w:rsidR="00897E2F">
        <w:rPr>
          <w:szCs w:val="18"/>
        </w:rPr>
        <w:t>esta</w:t>
      </w:r>
      <w:r w:rsidRPr="00C53075">
        <w:rPr>
          <w:szCs w:val="18"/>
        </w:rPr>
        <w:t xml:space="preserve"> cuenta pública </w:t>
      </w:r>
      <w:r w:rsidR="00B86E68">
        <w:rPr>
          <w:szCs w:val="18"/>
        </w:rPr>
        <w:t>es del</w:t>
      </w:r>
      <w:r w:rsidRPr="00C53075">
        <w:rPr>
          <w:szCs w:val="18"/>
        </w:rPr>
        <w:t xml:space="preserve"> 01 de enero al </w:t>
      </w:r>
      <w:r w:rsidR="00BA36D2">
        <w:rPr>
          <w:szCs w:val="18"/>
        </w:rPr>
        <w:t>30</w:t>
      </w:r>
      <w:r w:rsidRPr="00C53075">
        <w:rPr>
          <w:szCs w:val="18"/>
        </w:rPr>
        <w:t xml:space="preserve"> de </w:t>
      </w:r>
      <w:r w:rsidR="00336D6C">
        <w:rPr>
          <w:szCs w:val="18"/>
        </w:rPr>
        <w:t>septiembre</w:t>
      </w:r>
      <w:r w:rsidR="00897E2F">
        <w:rPr>
          <w:szCs w:val="18"/>
        </w:rPr>
        <w:t xml:space="preserve"> de 202</w:t>
      </w:r>
      <w:r w:rsidR="00764CB9">
        <w:rPr>
          <w:szCs w:val="18"/>
        </w:rPr>
        <w:t>1</w:t>
      </w:r>
      <w:r w:rsidRPr="00C53075">
        <w:rPr>
          <w:szCs w:val="18"/>
        </w:rPr>
        <w:t>.</w:t>
      </w:r>
    </w:p>
    <w:p w14:paraId="620EFA21" w14:textId="77777777" w:rsidR="00AC7F8A" w:rsidRPr="00C53075" w:rsidRDefault="00AC7F8A" w:rsidP="00AC7F8A">
      <w:pPr>
        <w:pStyle w:val="Texto"/>
        <w:spacing w:after="0" w:line="240" w:lineRule="exact"/>
        <w:rPr>
          <w:szCs w:val="18"/>
        </w:rPr>
      </w:pPr>
      <w:r w:rsidRPr="00C53075">
        <w:rPr>
          <w:szCs w:val="18"/>
        </w:rPr>
        <w:t>Salud de Tlaxcala está constituida como un Organismo Público Descentralizado del Gobierno del Estado de Tlaxcala.</w:t>
      </w:r>
    </w:p>
    <w:p w14:paraId="620EFA22" w14:textId="77777777" w:rsidR="00AC7F8A" w:rsidRPr="00C53075" w:rsidRDefault="00AC7F8A" w:rsidP="00AC7F8A">
      <w:pPr>
        <w:pStyle w:val="Texto"/>
        <w:spacing w:after="0" w:line="240" w:lineRule="exact"/>
        <w:rPr>
          <w:szCs w:val="18"/>
        </w:rPr>
      </w:pPr>
      <w:r w:rsidRPr="00C53075">
        <w:rPr>
          <w:szCs w:val="18"/>
        </w:rPr>
        <w:t>Fiscalmente tiene las siguientes obligaciones</w:t>
      </w:r>
    </w:p>
    <w:p w14:paraId="620EFA23"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retención de ISR por servicios profesionales.</w:t>
      </w:r>
    </w:p>
    <w:p w14:paraId="620EFA24" w14:textId="77777777" w:rsidR="00AC7F8A" w:rsidRPr="00C53075" w:rsidRDefault="00AC7F8A" w:rsidP="00AC7F8A">
      <w:pPr>
        <w:pStyle w:val="Texto"/>
        <w:numPr>
          <w:ilvl w:val="1"/>
          <w:numId w:val="7"/>
        </w:numPr>
        <w:spacing w:after="0" w:line="240" w:lineRule="exact"/>
        <w:rPr>
          <w:szCs w:val="18"/>
        </w:rPr>
      </w:pPr>
      <w:r w:rsidRPr="00C53075">
        <w:rPr>
          <w:szCs w:val="18"/>
        </w:rPr>
        <w:t>Declaración informativa anual de pagos y retenciones de servicios profesionales. Personas Morales. Impuesto Sobre la Renta.</w:t>
      </w:r>
    </w:p>
    <w:p w14:paraId="620EFA25" w14:textId="77777777" w:rsidR="00AC7F8A" w:rsidRPr="00C53075" w:rsidRDefault="00AC7F8A" w:rsidP="00AC7F8A">
      <w:pPr>
        <w:pStyle w:val="Texto"/>
        <w:numPr>
          <w:ilvl w:val="1"/>
          <w:numId w:val="7"/>
        </w:numPr>
        <w:spacing w:after="0" w:line="240" w:lineRule="exact"/>
        <w:rPr>
          <w:szCs w:val="18"/>
        </w:rPr>
      </w:pPr>
      <w:r w:rsidRPr="00C53075">
        <w:rPr>
          <w:szCs w:val="18"/>
        </w:rPr>
        <w:t>Entero mensual de retenciones de ISR de ingresos por arrendamiento.</w:t>
      </w:r>
    </w:p>
    <w:p w14:paraId="620EFA26"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retenciones mensuales de ISR por sueldos y salarios.</w:t>
      </w:r>
    </w:p>
    <w:p w14:paraId="620EFA27"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Declaración informativa anual de retenciones de ISR por arrendamiento de inmuebles. </w:t>
      </w:r>
    </w:p>
    <w:p w14:paraId="620EFA28"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Entero de retenciones mensuales de ISR por ingresos asimilados a salarios. </w:t>
      </w:r>
    </w:p>
    <w:p w14:paraId="620EFA2A" w14:textId="77777777" w:rsidR="00AC7F8A" w:rsidRDefault="00AC7F8A" w:rsidP="00AC7F8A">
      <w:pPr>
        <w:pStyle w:val="Texto"/>
        <w:spacing w:after="0" w:line="240" w:lineRule="exact"/>
        <w:ind w:firstLine="708"/>
        <w:rPr>
          <w:szCs w:val="18"/>
        </w:rPr>
      </w:pPr>
    </w:p>
    <w:p w14:paraId="620EFA2B" w14:textId="77777777" w:rsidR="00AC7F8A" w:rsidRDefault="00AC7F8A" w:rsidP="00AC7F8A">
      <w:pPr>
        <w:pStyle w:val="Texto"/>
        <w:spacing w:after="0" w:line="240" w:lineRule="exact"/>
        <w:ind w:firstLine="708"/>
        <w:rPr>
          <w:szCs w:val="18"/>
        </w:rPr>
      </w:pPr>
    </w:p>
    <w:p w14:paraId="620EFA2C" w14:textId="77777777" w:rsidR="00AC7F8A" w:rsidRDefault="00AC7F8A" w:rsidP="00AC7F8A">
      <w:pPr>
        <w:pStyle w:val="INCISO"/>
        <w:spacing w:after="0" w:line="240" w:lineRule="exact"/>
        <w:ind w:left="284" w:firstLine="0"/>
      </w:pPr>
    </w:p>
    <w:p w14:paraId="620EFA2D" w14:textId="77777777" w:rsidR="00A0339D" w:rsidRDefault="00A0339D" w:rsidP="00AC7F8A">
      <w:pPr>
        <w:pStyle w:val="INCISO"/>
        <w:spacing w:after="0" w:line="240" w:lineRule="exact"/>
        <w:ind w:left="284" w:firstLine="0"/>
      </w:pPr>
    </w:p>
    <w:p w14:paraId="620EFA2E" w14:textId="77777777" w:rsidR="00AC7F8A" w:rsidRPr="00630DB0" w:rsidRDefault="00AC7F8A" w:rsidP="00AC7F8A">
      <w:pPr>
        <w:pStyle w:val="INCISO"/>
        <w:spacing w:after="0" w:line="240" w:lineRule="exact"/>
        <w:ind w:left="284" w:firstLine="0"/>
      </w:pPr>
      <w:r w:rsidRPr="00630DB0">
        <w:t>Estructura organizacional básica</w:t>
      </w:r>
    </w:p>
    <w:p w14:paraId="620EFA2F" w14:textId="77777777" w:rsidR="00AC7F8A" w:rsidRPr="00630DB0" w:rsidRDefault="00AC7F8A" w:rsidP="00AC7F8A">
      <w:pPr>
        <w:pStyle w:val="Texto"/>
        <w:spacing w:after="0" w:line="240" w:lineRule="exact"/>
        <w:ind w:firstLine="708"/>
        <w:rPr>
          <w:szCs w:val="18"/>
        </w:rPr>
      </w:pPr>
      <w:r>
        <w:rPr>
          <w:noProof/>
          <w:lang w:val="es-MX" w:eastAsia="es-MX"/>
        </w:rPr>
        <w:drawing>
          <wp:anchor distT="0" distB="0" distL="114300" distR="114300" simplePos="0" relativeHeight="251673600" behindDoc="0" locked="0" layoutInCell="1" allowOverlap="1" wp14:anchorId="620EFAA2" wp14:editId="620EFAA3">
            <wp:simplePos x="0" y="0"/>
            <wp:positionH relativeFrom="column">
              <wp:posOffset>266065</wp:posOffset>
            </wp:positionH>
            <wp:positionV relativeFrom="paragraph">
              <wp:posOffset>244475</wp:posOffset>
            </wp:positionV>
            <wp:extent cx="8548370" cy="5195570"/>
            <wp:effectExtent l="0" t="0" r="5080" b="508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548370" cy="5195570"/>
                    </a:xfrm>
                    <a:prstGeom prst="rect">
                      <a:avLst/>
                    </a:prstGeom>
                  </pic:spPr>
                </pic:pic>
              </a:graphicData>
            </a:graphic>
            <wp14:sizeRelH relativeFrom="page">
              <wp14:pctWidth>0</wp14:pctWidth>
            </wp14:sizeRelH>
            <wp14:sizeRelV relativeFrom="page">
              <wp14:pctHeight>0</wp14:pctHeight>
            </wp14:sizeRelV>
          </wp:anchor>
        </w:drawing>
      </w:r>
    </w:p>
    <w:p w14:paraId="620EFA30" w14:textId="77777777" w:rsidR="00AC7F8A" w:rsidRPr="00630DB0" w:rsidRDefault="00AC7F8A" w:rsidP="00AC7F8A">
      <w:pPr>
        <w:pStyle w:val="Texto"/>
        <w:spacing w:after="0" w:line="240" w:lineRule="exact"/>
        <w:ind w:firstLine="708"/>
        <w:rPr>
          <w:szCs w:val="18"/>
        </w:rPr>
      </w:pPr>
    </w:p>
    <w:p w14:paraId="620EFA31" w14:textId="77777777" w:rsidR="00AC7F8A" w:rsidRDefault="00AC7F8A" w:rsidP="00AC7F8A">
      <w:pPr>
        <w:pStyle w:val="INCISO"/>
        <w:spacing w:after="0" w:line="240" w:lineRule="exact"/>
      </w:pPr>
    </w:p>
    <w:p w14:paraId="620EFA32" w14:textId="77777777" w:rsidR="00AC7F8A" w:rsidRPr="00630DB0" w:rsidRDefault="00AC7F8A" w:rsidP="00AC7F8A">
      <w:pPr>
        <w:pStyle w:val="INCISO"/>
        <w:spacing w:after="0" w:line="240" w:lineRule="exact"/>
        <w:ind w:left="284" w:firstLine="0"/>
      </w:pPr>
      <w:r w:rsidRPr="00630DB0">
        <w:t>Salud de Tlaxcala no es fideicomitente o fiduciario de Fideicomisos, mandatos y análogos.</w:t>
      </w:r>
    </w:p>
    <w:p w14:paraId="620EFA33" w14:textId="77777777" w:rsidR="00AC7F8A" w:rsidRPr="00630DB0" w:rsidRDefault="00AC7F8A" w:rsidP="00AC7F8A">
      <w:pPr>
        <w:pStyle w:val="INCISO"/>
        <w:spacing w:after="0" w:line="240" w:lineRule="exact"/>
      </w:pPr>
    </w:p>
    <w:p w14:paraId="620EFA34" w14:textId="77777777" w:rsidR="00AC7F8A" w:rsidRDefault="00AC7F8A" w:rsidP="00AC7F8A">
      <w:pPr>
        <w:pStyle w:val="Texto"/>
        <w:spacing w:after="0" w:line="240" w:lineRule="exact"/>
        <w:rPr>
          <w:b/>
          <w:szCs w:val="18"/>
          <w:lang w:val="es-MX"/>
        </w:rPr>
      </w:pPr>
    </w:p>
    <w:p w14:paraId="620EFA35" w14:textId="77777777" w:rsidR="00AC7F8A" w:rsidRPr="00630DB0" w:rsidRDefault="00AC7F8A" w:rsidP="00AC7F8A">
      <w:pPr>
        <w:pStyle w:val="Texto"/>
        <w:spacing w:after="0" w:line="240" w:lineRule="exact"/>
        <w:rPr>
          <w:b/>
          <w:szCs w:val="18"/>
          <w:lang w:val="es-MX"/>
        </w:rPr>
      </w:pPr>
      <w:r w:rsidRPr="00630DB0">
        <w:rPr>
          <w:b/>
          <w:szCs w:val="18"/>
          <w:lang w:val="es-MX"/>
        </w:rPr>
        <w:t>Bases de Preparación de los Estados Financieros</w:t>
      </w:r>
    </w:p>
    <w:p w14:paraId="620EFA36" w14:textId="77777777"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620EFA37" w14:textId="2D7457E5"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r w:rsidR="00A30021">
        <w:rPr>
          <w:rFonts w:ascii="Arial" w:hAnsi="Arial" w:cs="Arial"/>
          <w:sz w:val="18"/>
          <w:szCs w:val="18"/>
        </w:rPr>
        <w:t>.</w:t>
      </w:r>
    </w:p>
    <w:p w14:paraId="620EFA38" w14:textId="77777777" w:rsidR="00AC7F8A" w:rsidRPr="00C66A86" w:rsidRDefault="00AC7F8A" w:rsidP="00AC7F8A">
      <w:pPr>
        <w:pStyle w:val="INCISO"/>
        <w:spacing w:after="0" w:line="240" w:lineRule="exact"/>
        <w:ind w:left="0" w:firstLine="284"/>
      </w:pPr>
      <w:r w:rsidRPr="00C66A86">
        <w:t>Los Postulados básicos considerados fueron:</w:t>
      </w:r>
    </w:p>
    <w:p w14:paraId="620EFA39" w14:textId="27933972" w:rsidR="00AC7F8A" w:rsidRPr="00C66A86" w:rsidRDefault="00AC7F8A" w:rsidP="00AC7F8A">
      <w:pPr>
        <w:pStyle w:val="INCISO"/>
        <w:spacing w:after="0" w:line="240" w:lineRule="exact"/>
        <w:ind w:left="709" w:firstLine="0"/>
      </w:pPr>
      <w:r w:rsidRPr="00C66A86">
        <w:t>1)</w:t>
      </w:r>
      <w:r>
        <w:t xml:space="preserve"> </w:t>
      </w:r>
      <w:r w:rsidRPr="00C66A86">
        <w:t>Sustancia Económica</w:t>
      </w:r>
      <w:r w:rsidR="003966F6">
        <w:t>.</w:t>
      </w:r>
    </w:p>
    <w:p w14:paraId="620EFA3A" w14:textId="560F9DE2" w:rsidR="00AC7F8A" w:rsidRPr="00C66A86" w:rsidRDefault="00AC7F8A" w:rsidP="00AC7F8A">
      <w:pPr>
        <w:pStyle w:val="INCISO"/>
        <w:spacing w:after="0" w:line="240" w:lineRule="exact"/>
        <w:ind w:left="709" w:firstLine="0"/>
      </w:pPr>
      <w:r w:rsidRPr="00C66A86">
        <w:t>2) Entes Públicos</w:t>
      </w:r>
      <w:r w:rsidR="003966F6">
        <w:t>.</w:t>
      </w:r>
    </w:p>
    <w:p w14:paraId="620EFA3B" w14:textId="3028CE47" w:rsidR="00AC7F8A" w:rsidRPr="00C66A86" w:rsidRDefault="00AC7F8A" w:rsidP="00AC7F8A">
      <w:pPr>
        <w:pStyle w:val="INCISO"/>
        <w:spacing w:after="0" w:line="240" w:lineRule="exact"/>
        <w:ind w:left="709" w:firstLine="0"/>
      </w:pPr>
      <w:r w:rsidRPr="00C66A86">
        <w:t>3) Existencia Permanente</w:t>
      </w:r>
      <w:r w:rsidR="003966F6">
        <w:t>.</w:t>
      </w:r>
    </w:p>
    <w:p w14:paraId="620EFA3C" w14:textId="287E5834" w:rsidR="00AC7F8A" w:rsidRPr="00C66A86" w:rsidRDefault="00AC7F8A" w:rsidP="00AC7F8A">
      <w:pPr>
        <w:pStyle w:val="INCISO"/>
        <w:spacing w:after="0" w:line="240" w:lineRule="exact"/>
        <w:ind w:left="709" w:firstLine="0"/>
      </w:pPr>
      <w:r w:rsidRPr="00C66A86">
        <w:t>4) Revelación Suficiente</w:t>
      </w:r>
      <w:r w:rsidR="003966F6">
        <w:t>.</w:t>
      </w:r>
    </w:p>
    <w:p w14:paraId="620EFA3D" w14:textId="120A97A3" w:rsidR="00AC7F8A" w:rsidRPr="00630DB0" w:rsidRDefault="00AC7F8A" w:rsidP="00AC7F8A">
      <w:pPr>
        <w:pStyle w:val="INCISO"/>
        <w:spacing w:after="0" w:line="240" w:lineRule="exact"/>
        <w:ind w:left="709" w:firstLine="0"/>
      </w:pPr>
      <w:r w:rsidRPr="00630DB0">
        <w:t>5) Importancia Relativa</w:t>
      </w:r>
      <w:r w:rsidR="003966F6">
        <w:t>.</w:t>
      </w:r>
    </w:p>
    <w:p w14:paraId="620EFA3E" w14:textId="3B680C66" w:rsidR="00AC7F8A" w:rsidRPr="00630DB0" w:rsidRDefault="00AC7F8A" w:rsidP="00AC7F8A">
      <w:pPr>
        <w:pStyle w:val="INCISO"/>
        <w:spacing w:after="0" w:line="240" w:lineRule="exact"/>
        <w:ind w:left="709" w:firstLine="0"/>
      </w:pPr>
      <w:r w:rsidRPr="00630DB0">
        <w:t>6) Registro e Integración Presupuestaria</w:t>
      </w:r>
      <w:r w:rsidR="003966F6">
        <w:t>.</w:t>
      </w:r>
    </w:p>
    <w:p w14:paraId="620EFA3F" w14:textId="21B08A23" w:rsidR="00AC7F8A" w:rsidRPr="00630DB0" w:rsidRDefault="00AC7F8A" w:rsidP="00AC7F8A">
      <w:pPr>
        <w:pStyle w:val="INCISO"/>
        <w:spacing w:after="0" w:line="240" w:lineRule="exact"/>
        <w:ind w:left="709" w:firstLine="0"/>
      </w:pPr>
      <w:r w:rsidRPr="00630DB0">
        <w:t>7) Consolidación de la Información Financiera</w:t>
      </w:r>
      <w:r w:rsidR="003966F6">
        <w:t>.</w:t>
      </w:r>
    </w:p>
    <w:p w14:paraId="620EFA40" w14:textId="0CB01578" w:rsidR="00AC7F8A" w:rsidRPr="00630DB0" w:rsidRDefault="00AC7F8A" w:rsidP="00AC7F8A">
      <w:pPr>
        <w:pStyle w:val="INCISO"/>
        <w:spacing w:after="0" w:line="240" w:lineRule="exact"/>
        <w:ind w:left="709" w:firstLine="0"/>
      </w:pPr>
      <w:r w:rsidRPr="00630DB0">
        <w:t>8) Devengo Contable</w:t>
      </w:r>
      <w:r w:rsidR="003966F6">
        <w:t>.</w:t>
      </w:r>
    </w:p>
    <w:p w14:paraId="620EFA41" w14:textId="5A344B46" w:rsidR="00AC7F8A" w:rsidRPr="00630DB0" w:rsidRDefault="00AC7F8A" w:rsidP="00AC7F8A">
      <w:pPr>
        <w:pStyle w:val="INCISO"/>
        <w:tabs>
          <w:tab w:val="left" w:pos="3450"/>
        </w:tabs>
        <w:spacing w:after="0" w:line="240" w:lineRule="exact"/>
        <w:ind w:left="709" w:firstLine="0"/>
      </w:pPr>
      <w:r w:rsidRPr="00630DB0">
        <w:t>9) Valuación</w:t>
      </w:r>
      <w:r w:rsidR="003966F6">
        <w:t>.</w:t>
      </w:r>
    </w:p>
    <w:p w14:paraId="620EFA42" w14:textId="23389C7D" w:rsidR="00AC7F8A" w:rsidRPr="00630DB0" w:rsidRDefault="00AC7F8A" w:rsidP="00AC7F8A">
      <w:pPr>
        <w:pStyle w:val="INCISO"/>
        <w:spacing w:after="0" w:line="240" w:lineRule="exact"/>
        <w:ind w:left="709" w:firstLine="0"/>
      </w:pPr>
      <w:r w:rsidRPr="00630DB0">
        <w:t>10) Dualidad Económica</w:t>
      </w:r>
      <w:r w:rsidR="003966F6">
        <w:t>.</w:t>
      </w:r>
    </w:p>
    <w:p w14:paraId="620EFA43" w14:textId="4DD83C01" w:rsidR="00AC7F8A" w:rsidRPr="00630DB0" w:rsidRDefault="00AC7F8A" w:rsidP="00AC7F8A">
      <w:pPr>
        <w:pStyle w:val="INCISO"/>
        <w:spacing w:after="0" w:line="240" w:lineRule="exact"/>
        <w:ind w:left="709" w:firstLine="0"/>
      </w:pPr>
      <w:r w:rsidRPr="00630DB0">
        <w:t>11) Consistencia</w:t>
      </w:r>
      <w:r w:rsidR="003966F6">
        <w:t>.</w:t>
      </w:r>
    </w:p>
    <w:p w14:paraId="620EFA44" w14:textId="7B82CEF9" w:rsidR="00AC7F8A" w:rsidRPr="00630DB0" w:rsidRDefault="00AC7F8A" w:rsidP="00AC7F8A">
      <w:pPr>
        <w:pStyle w:val="INCISO"/>
        <w:spacing w:after="0" w:line="240" w:lineRule="exact"/>
        <w:ind w:left="284" w:firstLine="0"/>
      </w:pPr>
      <w:r w:rsidRPr="00630DB0">
        <w:t>Para la preparación de los Estados Financieros no se ocupó normatividad supletoria</w:t>
      </w:r>
      <w:r w:rsidR="003966F6">
        <w:t>.</w:t>
      </w:r>
    </w:p>
    <w:p w14:paraId="620EFA45" w14:textId="77777777" w:rsidR="00AC7F8A" w:rsidRPr="00630DB0" w:rsidRDefault="00AC7F8A" w:rsidP="00AC7F8A">
      <w:pPr>
        <w:pStyle w:val="Texto"/>
        <w:spacing w:after="0" w:line="240" w:lineRule="exact"/>
        <w:ind w:left="1440" w:hanging="360"/>
        <w:rPr>
          <w:szCs w:val="18"/>
        </w:rPr>
      </w:pPr>
    </w:p>
    <w:p w14:paraId="620EFA46" w14:textId="77777777" w:rsidR="00AC7F8A" w:rsidRPr="00630DB0" w:rsidRDefault="00AC7F8A" w:rsidP="00AC7F8A">
      <w:pPr>
        <w:pStyle w:val="Texto"/>
        <w:spacing w:after="0" w:line="240" w:lineRule="exact"/>
        <w:rPr>
          <w:b/>
          <w:szCs w:val="18"/>
          <w:lang w:val="es-MX"/>
        </w:rPr>
      </w:pPr>
      <w:r w:rsidRPr="00630DB0">
        <w:rPr>
          <w:b/>
          <w:szCs w:val="18"/>
          <w:lang w:val="es-MX"/>
        </w:rPr>
        <w:t>Políticas de Contabilidad Significativas</w:t>
      </w:r>
    </w:p>
    <w:p w14:paraId="620EFA47" w14:textId="165D57EB" w:rsidR="00AC7F8A" w:rsidRPr="00630DB0" w:rsidRDefault="00AC7F8A" w:rsidP="00AC7F8A">
      <w:pPr>
        <w:pStyle w:val="Texto"/>
        <w:spacing w:after="0" w:line="240" w:lineRule="exact"/>
        <w:rPr>
          <w:szCs w:val="18"/>
        </w:rPr>
      </w:pPr>
    </w:p>
    <w:p w14:paraId="620EFA48" w14:textId="68593ABB" w:rsidR="00AC7F8A" w:rsidRPr="00630DB0" w:rsidRDefault="00AC7F8A" w:rsidP="00AC7F8A">
      <w:pPr>
        <w:pStyle w:val="INCISO"/>
        <w:spacing w:after="0" w:line="240" w:lineRule="exact"/>
      </w:pPr>
      <w:r w:rsidRPr="00630DB0">
        <w:t>a)</w:t>
      </w:r>
      <w:r w:rsidRPr="00630DB0">
        <w:tab/>
      </w:r>
      <w:r w:rsidRPr="001B03C7">
        <w:t>El valor de los bienes muebles del ejercicio 2015 y anteriores se encuentran conforme al valor asignado por valuación</w:t>
      </w:r>
      <w:r w:rsidR="002E5ED2">
        <w:t xml:space="preserve"> efectuada durante el</w:t>
      </w:r>
      <w:r w:rsidR="003966F6">
        <w:t xml:space="preserve"> mismo</w:t>
      </w:r>
      <w:r w:rsidR="002E5ED2">
        <w:t xml:space="preserve"> ejercicio</w:t>
      </w:r>
      <w:r w:rsidRPr="001B03C7">
        <w:t>, los</w:t>
      </w:r>
      <w:r w:rsidR="002E5ED2">
        <w:t xml:space="preserve"> bienes muebles</w:t>
      </w:r>
      <w:r w:rsidRPr="001B03C7">
        <w:t xml:space="preserve"> adquiridos en </w:t>
      </w:r>
      <w:r w:rsidR="002E5ED2">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620EFA49" w14:textId="77777777" w:rsidR="00AC7F8A" w:rsidRPr="00630DB0" w:rsidRDefault="00AC7F8A" w:rsidP="00AC7F8A">
      <w:pPr>
        <w:pStyle w:val="INCISO"/>
        <w:spacing w:after="0" w:line="240" w:lineRule="exact"/>
      </w:pPr>
      <w:r w:rsidRPr="00630DB0">
        <w:t>b)</w:t>
      </w:r>
      <w:r w:rsidRPr="00630DB0">
        <w:tab/>
        <w:t>No se realizaron operaciones en el extranjero.</w:t>
      </w:r>
    </w:p>
    <w:p w14:paraId="620EFA4A" w14:textId="77777777" w:rsidR="00AC7F8A" w:rsidRPr="00630DB0" w:rsidRDefault="00AC7F8A" w:rsidP="00AC7F8A">
      <w:pPr>
        <w:pStyle w:val="INCISO"/>
        <w:spacing w:after="0" w:line="240" w:lineRule="exact"/>
      </w:pPr>
      <w:r w:rsidRPr="00630DB0">
        <w:t>c)</w:t>
      </w:r>
      <w:r w:rsidRPr="00630DB0">
        <w:tab/>
        <w:t>No se realiza inversión en acciones en el Sector Paraestatal.</w:t>
      </w:r>
    </w:p>
    <w:p w14:paraId="620EFA4B" w14:textId="77777777" w:rsidR="00AC7F8A" w:rsidRPr="00630DB0" w:rsidRDefault="00AC7F8A" w:rsidP="00AC7F8A">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279DBE45" w14:textId="5B06C620" w:rsidR="005508C1" w:rsidRDefault="00AC7F8A" w:rsidP="005508C1">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rsidR="003966F6">
        <w:t>í</w:t>
      </w:r>
      <w:r w:rsidRPr="00630DB0">
        <w:t>a de Salud.</w:t>
      </w:r>
    </w:p>
    <w:p w14:paraId="620EFA4D" w14:textId="3292660B" w:rsidR="00AC7F8A" w:rsidRPr="00630DB0" w:rsidRDefault="00AC7F8A" w:rsidP="005508C1">
      <w:pPr>
        <w:pStyle w:val="INCISO"/>
        <w:spacing w:after="0" w:line="240" w:lineRule="exact"/>
      </w:pPr>
      <w:r w:rsidRPr="00630DB0">
        <w:t>f)</w:t>
      </w:r>
      <w:r w:rsidR="003966F6">
        <w:tab/>
      </w:r>
      <w:r>
        <w:t>No se tiene registrad</w:t>
      </w:r>
      <w:r w:rsidR="003966F6">
        <w:t>a</w:t>
      </w:r>
      <w:r>
        <w:t xml:space="preserve"> una </w:t>
      </w:r>
      <w:r w:rsidRPr="00994CB8">
        <w:t>p</w:t>
      </w:r>
      <w:r>
        <w:t>rovisión</w:t>
      </w:r>
      <w:r w:rsidRPr="00994CB8">
        <w:t xml:space="preserve"> </w:t>
      </w:r>
      <w:r>
        <w:t>para pasivos laborales</w:t>
      </w:r>
      <w:r w:rsidR="003966F6">
        <w:t>;</w:t>
      </w:r>
      <w:r w:rsidR="0062599C">
        <w:t xml:space="preserve"> ver nota en </w:t>
      </w:r>
      <w:r w:rsidR="0062599C" w:rsidRPr="003F1C15">
        <w:t>Informe de Pasivos Contingentes</w:t>
      </w:r>
      <w:r w:rsidR="005508C1">
        <w:t>.</w:t>
      </w:r>
    </w:p>
    <w:p w14:paraId="620EFA4E" w14:textId="77777777" w:rsidR="00AC7F8A" w:rsidRPr="00630DB0" w:rsidRDefault="00AC7F8A" w:rsidP="00AC7F8A">
      <w:pPr>
        <w:pStyle w:val="INCISO"/>
        <w:spacing w:after="0" w:line="240" w:lineRule="exact"/>
      </w:pPr>
      <w:r w:rsidRPr="00630DB0">
        <w:t>g)</w:t>
      </w:r>
      <w:r w:rsidRPr="00630DB0">
        <w:tab/>
        <w:t>No se determinaron reservas durante el ejercicio.</w:t>
      </w:r>
    </w:p>
    <w:p w14:paraId="620EFA4F" w14:textId="77777777" w:rsidR="00AC7F8A" w:rsidRPr="00630DB0" w:rsidRDefault="00AC7F8A" w:rsidP="00AC7F8A">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620EFA50" w14:textId="77777777" w:rsidR="00AC7F8A" w:rsidRPr="00630DB0" w:rsidRDefault="00AC7F8A" w:rsidP="00AC7F8A">
      <w:pPr>
        <w:pStyle w:val="INCISO"/>
        <w:spacing w:after="0" w:line="240" w:lineRule="exact"/>
      </w:pPr>
      <w:r w:rsidRPr="00630DB0">
        <w:t>i)</w:t>
      </w:r>
      <w:r w:rsidRPr="00630DB0">
        <w:tab/>
        <w:t>No se efectuaron reclasificaciones por cambios en los tipos de operaciones.</w:t>
      </w:r>
    </w:p>
    <w:p w14:paraId="620EFA51" w14:textId="77777777" w:rsidR="00AC7F8A" w:rsidRPr="00630DB0" w:rsidRDefault="00AC7F8A" w:rsidP="00AC7F8A">
      <w:pPr>
        <w:pStyle w:val="INCISO"/>
        <w:spacing w:after="0" w:line="240" w:lineRule="exact"/>
      </w:pPr>
      <w:r w:rsidRPr="00630DB0">
        <w:lastRenderedPageBreak/>
        <w:t>j)</w:t>
      </w:r>
      <w:r w:rsidRPr="00630DB0">
        <w:tab/>
      </w:r>
      <w:r w:rsidRPr="00994CB8">
        <w:t>Durante el ejercicio se está efectuando la depuración y cancelación de saldos</w:t>
      </w:r>
      <w:r w:rsidRPr="00630DB0">
        <w:t>.</w:t>
      </w:r>
    </w:p>
    <w:p w14:paraId="27FF5021" w14:textId="77777777" w:rsidR="00E55A88" w:rsidRPr="00630DB0" w:rsidRDefault="00E55A88" w:rsidP="00AC7F8A">
      <w:pPr>
        <w:pStyle w:val="INCISO"/>
        <w:spacing w:after="0" w:line="240" w:lineRule="exact"/>
        <w:ind w:left="0" w:firstLine="0"/>
      </w:pPr>
    </w:p>
    <w:p w14:paraId="620EFA53" w14:textId="77777777" w:rsidR="00AC7F8A" w:rsidRPr="00630DB0" w:rsidRDefault="00AC7F8A" w:rsidP="00AC7F8A">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620EFA54" w14:textId="08FF7892"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sidR="005508C1">
        <w:rPr>
          <w:szCs w:val="18"/>
        </w:rPr>
        <w:t>.</w:t>
      </w:r>
    </w:p>
    <w:p w14:paraId="620EFA55" w14:textId="77777777" w:rsidR="00AC7F8A" w:rsidRPr="00630DB0" w:rsidRDefault="00AC7F8A" w:rsidP="00AC7F8A">
      <w:pPr>
        <w:pStyle w:val="Texto"/>
        <w:spacing w:after="0" w:line="240" w:lineRule="exact"/>
        <w:rPr>
          <w:szCs w:val="18"/>
        </w:rPr>
      </w:pPr>
    </w:p>
    <w:p w14:paraId="620EFA56" w14:textId="77777777" w:rsidR="00AC7F8A" w:rsidRPr="00630DB0" w:rsidRDefault="00AC7F8A" w:rsidP="00AC7F8A">
      <w:pPr>
        <w:pStyle w:val="Texto"/>
        <w:spacing w:after="0" w:line="240" w:lineRule="exact"/>
        <w:rPr>
          <w:b/>
          <w:szCs w:val="18"/>
          <w:lang w:val="es-MX"/>
        </w:rPr>
      </w:pPr>
      <w:r w:rsidRPr="00630DB0">
        <w:rPr>
          <w:b/>
          <w:szCs w:val="18"/>
          <w:lang w:val="es-MX"/>
        </w:rPr>
        <w:t>Reporte Analítico del Activo</w:t>
      </w:r>
    </w:p>
    <w:p w14:paraId="620EFA57" w14:textId="6B950EC7" w:rsidR="00AC7F8A" w:rsidRPr="00630DB0" w:rsidRDefault="00AC7F8A" w:rsidP="00AC7F8A">
      <w:pPr>
        <w:pStyle w:val="INCISO"/>
        <w:spacing w:after="0" w:line="240" w:lineRule="exact"/>
      </w:pPr>
      <w:r w:rsidRPr="00630DB0">
        <w:t>a)</w:t>
      </w:r>
      <w:r w:rsidRPr="00630DB0">
        <w:tab/>
      </w:r>
      <w:r w:rsidR="002E5ED2">
        <w:t>A la fecha de presentación</w:t>
      </w:r>
      <w:r w:rsidRPr="00B8048F">
        <w:t xml:space="preserve"> no se han realizado depreciaciones de activos.</w:t>
      </w:r>
    </w:p>
    <w:p w14:paraId="620EFA58" w14:textId="77777777" w:rsidR="00AC7F8A" w:rsidRPr="00630DB0" w:rsidRDefault="00AC7F8A" w:rsidP="00AC7F8A">
      <w:pPr>
        <w:pStyle w:val="INCISO"/>
        <w:spacing w:after="0" w:line="240" w:lineRule="exact"/>
      </w:pPr>
      <w:r w:rsidRPr="00630DB0">
        <w:t>b)</w:t>
      </w:r>
      <w:r w:rsidRPr="00630DB0">
        <w:tab/>
        <w:t>No se realizaron cambios en el porcentaje de depreciación o valor residual de los activos como lo explica el inciso a).</w:t>
      </w:r>
    </w:p>
    <w:p w14:paraId="620EFA59" w14:textId="6F8FE2C8" w:rsidR="00AC7F8A" w:rsidRPr="00630DB0" w:rsidRDefault="00AC7F8A" w:rsidP="00AC7F8A">
      <w:pPr>
        <w:pStyle w:val="INCISO"/>
        <w:spacing w:after="0" w:line="240" w:lineRule="exact"/>
      </w:pPr>
      <w:r w:rsidRPr="00630DB0">
        <w:t>c)</w:t>
      </w:r>
      <w:r w:rsidRPr="00630DB0">
        <w:tab/>
        <w:t>No existieron importe</w:t>
      </w:r>
      <w:r w:rsidR="00764CB9">
        <w:t>s</w:t>
      </w:r>
      <w:r w:rsidRPr="00630DB0">
        <w:t xml:space="preserve"> de gastos capitalizados en </w:t>
      </w:r>
      <w:r w:rsidR="00B86E68">
        <w:t>e</w:t>
      </w:r>
      <w:r w:rsidR="0089374A" w:rsidRPr="00630DB0">
        <w:t>l</w:t>
      </w:r>
      <w:r w:rsidRPr="00630DB0">
        <w:t xml:space="preserve"> </w:t>
      </w:r>
      <w:r w:rsidR="003966F6">
        <w:t>periodo</w:t>
      </w:r>
      <w:r w:rsidRPr="00630DB0">
        <w:t>, tanto financieros como de investigación y desarrollo.</w:t>
      </w:r>
    </w:p>
    <w:p w14:paraId="620EFA5A" w14:textId="635CB612" w:rsidR="00AC7F8A" w:rsidRPr="00630DB0" w:rsidRDefault="00AC7F8A" w:rsidP="00AC7F8A">
      <w:pPr>
        <w:pStyle w:val="INCISO"/>
        <w:spacing w:after="0" w:line="240" w:lineRule="exact"/>
      </w:pPr>
      <w:r w:rsidRPr="00630DB0">
        <w:t>d)</w:t>
      </w:r>
      <w:r w:rsidRPr="00630DB0">
        <w:tab/>
        <w:t>No se tuvieron rie</w:t>
      </w:r>
      <w:r w:rsidR="00A30021">
        <w:t>s</w:t>
      </w:r>
      <w:r w:rsidRPr="00630DB0">
        <w:t>gos por tipo de cambio o tipo de interés de las inversiones financieras.</w:t>
      </w:r>
    </w:p>
    <w:p w14:paraId="620EFA5B" w14:textId="50CCFE9C" w:rsidR="00AC7F8A" w:rsidRPr="00630DB0" w:rsidRDefault="00AC7F8A" w:rsidP="00AC7F8A">
      <w:pPr>
        <w:pStyle w:val="INCISO"/>
        <w:spacing w:after="0" w:line="240" w:lineRule="exact"/>
      </w:pPr>
      <w:r w:rsidRPr="00630DB0">
        <w:t>e)</w:t>
      </w:r>
      <w:r w:rsidRPr="00630DB0">
        <w:tab/>
      </w:r>
      <w:r>
        <w:t>No se han realizado</w:t>
      </w:r>
      <w:r w:rsidRPr="00630DB0">
        <w:t xml:space="preserve"> inversiones en Edificios durante el</w:t>
      </w:r>
      <w:r w:rsidR="003966F6">
        <w:t xml:space="preserve"> periodo</w:t>
      </w:r>
      <w:r w:rsidRPr="00630DB0">
        <w:t>.</w:t>
      </w:r>
    </w:p>
    <w:p w14:paraId="620EFA5C" w14:textId="4527BC22" w:rsidR="00AC7F8A" w:rsidRPr="00630DB0" w:rsidRDefault="00AC7F8A" w:rsidP="00AC7F8A">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rsidR="002E5ED2">
        <w:t xml:space="preserve">presente </w:t>
      </w:r>
      <w:r w:rsidRPr="00630DB0">
        <w:t>ejercicio</w:t>
      </w:r>
      <w:r>
        <w:t>.</w:t>
      </w:r>
    </w:p>
    <w:p w14:paraId="620EFA5D" w14:textId="77777777" w:rsidR="00AC7F8A" w:rsidRPr="00630DB0" w:rsidRDefault="00AC7F8A" w:rsidP="00AC7F8A">
      <w:pPr>
        <w:pStyle w:val="INCISO"/>
        <w:spacing w:after="0" w:line="240" w:lineRule="exact"/>
      </w:pPr>
      <w:r w:rsidRPr="00630DB0">
        <w:t>g)</w:t>
      </w:r>
      <w:r w:rsidRPr="00630DB0">
        <w:tab/>
        <w:t>No se llevaron a cabo desmantelamiento de Activos.</w:t>
      </w:r>
    </w:p>
    <w:p w14:paraId="620EFA5E" w14:textId="77777777" w:rsidR="00AC7F8A" w:rsidRPr="00630DB0" w:rsidRDefault="00AC7F8A" w:rsidP="00AC7F8A">
      <w:pPr>
        <w:pStyle w:val="INCISO"/>
        <w:spacing w:after="0" w:line="240" w:lineRule="exact"/>
        <w:ind w:left="0" w:firstLine="0"/>
      </w:pPr>
    </w:p>
    <w:p w14:paraId="620EFA5F" w14:textId="77777777" w:rsidR="00AC7F8A" w:rsidRPr="00630DB0" w:rsidRDefault="00AC7F8A" w:rsidP="00AC7F8A">
      <w:pPr>
        <w:pStyle w:val="Texto"/>
        <w:spacing w:after="0" w:line="240" w:lineRule="exact"/>
        <w:rPr>
          <w:b/>
          <w:szCs w:val="18"/>
          <w:lang w:val="es-MX"/>
        </w:rPr>
      </w:pPr>
      <w:r w:rsidRPr="00630DB0">
        <w:rPr>
          <w:b/>
          <w:szCs w:val="18"/>
          <w:lang w:val="es-MX"/>
        </w:rPr>
        <w:t>Fideicomisos, Mandatos y Análogos</w:t>
      </w:r>
    </w:p>
    <w:p w14:paraId="620EFA60"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620EFA61" w14:textId="77777777" w:rsidR="00AC7F8A" w:rsidRPr="00630DB0" w:rsidRDefault="00AC7F8A" w:rsidP="00AC7F8A">
      <w:pPr>
        <w:pStyle w:val="INCISO"/>
        <w:spacing w:after="0" w:line="240" w:lineRule="exact"/>
      </w:pPr>
    </w:p>
    <w:p w14:paraId="620EFA62" w14:textId="77777777" w:rsidR="00AC7F8A" w:rsidRDefault="00AC7F8A" w:rsidP="00AC7F8A">
      <w:pPr>
        <w:pStyle w:val="Texto"/>
        <w:spacing w:after="0" w:line="240" w:lineRule="exact"/>
        <w:rPr>
          <w:b/>
          <w:szCs w:val="18"/>
          <w:lang w:val="es-MX"/>
        </w:rPr>
      </w:pPr>
      <w:r w:rsidRPr="00630DB0">
        <w:rPr>
          <w:b/>
          <w:szCs w:val="18"/>
          <w:lang w:val="es-MX"/>
        </w:rPr>
        <w:t>Reporte de la Recaudación</w:t>
      </w:r>
    </w:p>
    <w:p w14:paraId="620EFA63" w14:textId="54904152" w:rsidR="00AC7F8A" w:rsidRPr="00630DB0" w:rsidRDefault="00AC7F8A" w:rsidP="00AC7F8A">
      <w:pPr>
        <w:pStyle w:val="INCISO"/>
        <w:spacing w:after="0" w:line="240" w:lineRule="exact"/>
      </w:pPr>
      <w:r w:rsidRPr="00630DB0">
        <w:t>a)</w:t>
      </w:r>
      <w:r w:rsidRPr="00630DB0">
        <w:tab/>
      </w:r>
      <w:r w:rsidRPr="00994CB8">
        <w:t xml:space="preserve">Durante el presente </w:t>
      </w:r>
      <w:r w:rsidR="0089374A">
        <w:t>periodo</w:t>
      </w:r>
      <w:r w:rsidRPr="00994CB8">
        <w:t xml:space="preserve"> la recaudación de los ingresos se realiz</w:t>
      </w:r>
      <w:r w:rsidR="0089374A">
        <w:t>ó</w:t>
      </w:r>
      <w:r w:rsidRPr="00994CB8">
        <w:t xml:space="preserve"> a través de la Secretaría de Planeación y Finanzas.</w:t>
      </w:r>
    </w:p>
    <w:p w14:paraId="620EFA64" w14:textId="77777777" w:rsidR="00AC7F8A" w:rsidRDefault="00AC7F8A" w:rsidP="00AC7F8A">
      <w:pPr>
        <w:pStyle w:val="INCISO"/>
        <w:spacing w:after="0" w:line="240" w:lineRule="exact"/>
      </w:pPr>
    </w:p>
    <w:p w14:paraId="620EFA65" w14:textId="77777777" w:rsidR="00AC7F8A" w:rsidRPr="00630DB0" w:rsidRDefault="00AC7F8A" w:rsidP="00AC7F8A">
      <w:pPr>
        <w:pStyle w:val="Texto"/>
        <w:spacing w:after="0" w:line="240" w:lineRule="exact"/>
        <w:rPr>
          <w:b/>
          <w:szCs w:val="18"/>
          <w:lang w:val="es-MX"/>
        </w:rPr>
      </w:pPr>
      <w:r w:rsidRPr="00630DB0">
        <w:rPr>
          <w:b/>
          <w:szCs w:val="18"/>
          <w:lang w:val="es-MX"/>
        </w:rPr>
        <w:t>Información sobre la Deuda y el Reporte Analítico de la Deuda</w:t>
      </w:r>
    </w:p>
    <w:p w14:paraId="620EFA66" w14:textId="40EE1FD2" w:rsidR="00AC7F8A" w:rsidRPr="00630DB0" w:rsidRDefault="00AC7F8A" w:rsidP="00AC7F8A">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sidR="00B86E68">
        <w:rPr>
          <w:szCs w:val="18"/>
          <w:lang w:val="es-MX"/>
        </w:rPr>
        <w:t>ú</w:t>
      </w:r>
      <w:r w:rsidRPr="00630DB0">
        <w:rPr>
          <w:szCs w:val="18"/>
          <w:lang w:val="es-MX"/>
        </w:rPr>
        <w:t>blica Contratada.</w:t>
      </w:r>
    </w:p>
    <w:p w14:paraId="620EFA67" w14:textId="77777777" w:rsidR="00AC7F8A" w:rsidRPr="00630DB0" w:rsidRDefault="00AC7F8A" w:rsidP="00AC7F8A">
      <w:pPr>
        <w:pStyle w:val="INCISO"/>
        <w:spacing w:after="0" w:line="240" w:lineRule="exact"/>
        <w:rPr>
          <w:lang w:val="es-MX"/>
        </w:rPr>
      </w:pPr>
    </w:p>
    <w:p w14:paraId="620EFA68" w14:textId="77777777" w:rsidR="00AC7F8A" w:rsidRPr="00630DB0" w:rsidRDefault="00AC7F8A" w:rsidP="00AC7F8A">
      <w:pPr>
        <w:pStyle w:val="Texto"/>
        <w:spacing w:after="0" w:line="240" w:lineRule="exact"/>
        <w:rPr>
          <w:b/>
          <w:szCs w:val="18"/>
          <w:lang w:val="es-MX"/>
        </w:rPr>
      </w:pPr>
      <w:r w:rsidRPr="00630DB0">
        <w:rPr>
          <w:b/>
          <w:szCs w:val="18"/>
          <w:lang w:val="es-MX"/>
        </w:rPr>
        <w:t>Calificaciones otorgadas</w:t>
      </w:r>
    </w:p>
    <w:p w14:paraId="620EFA69"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620EFA6A" w14:textId="77777777" w:rsidR="00AC7F8A" w:rsidRPr="00630DB0" w:rsidRDefault="00AC7F8A" w:rsidP="00AC7F8A">
      <w:pPr>
        <w:pStyle w:val="Texto"/>
        <w:spacing w:after="0" w:line="240" w:lineRule="exact"/>
        <w:rPr>
          <w:szCs w:val="18"/>
        </w:rPr>
      </w:pPr>
    </w:p>
    <w:p w14:paraId="620EFA6B" w14:textId="77777777" w:rsidR="00AC7F8A" w:rsidRPr="00630DB0" w:rsidRDefault="00AC7F8A" w:rsidP="00AC7F8A">
      <w:pPr>
        <w:pStyle w:val="Texto"/>
        <w:spacing w:after="0" w:line="240" w:lineRule="exact"/>
        <w:rPr>
          <w:b/>
          <w:szCs w:val="18"/>
          <w:lang w:val="es-MX"/>
        </w:rPr>
      </w:pPr>
      <w:r w:rsidRPr="00630DB0">
        <w:rPr>
          <w:b/>
          <w:szCs w:val="18"/>
          <w:lang w:val="es-MX"/>
        </w:rPr>
        <w:t>Proceso de Mejora</w:t>
      </w:r>
    </w:p>
    <w:p w14:paraId="620EFA6C" w14:textId="77777777" w:rsidR="00AC7F8A" w:rsidRPr="00994CB8" w:rsidRDefault="00AC7F8A" w:rsidP="00AC7F8A">
      <w:pPr>
        <w:pStyle w:val="Texto"/>
        <w:spacing w:after="0" w:line="240" w:lineRule="exact"/>
        <w:rPr>
          <w:szCs w:val="18"/>
        </w:rPr>
      </w:pPr>
      <w:r w:rsidRPr="00994CB8">
        <w:rPr>
          <w:szCs w:val="18"/>
        </w:rPr>
        <w:t>Se informará de:</w:t>
      </w:r>
    </w:p>
    <w:p w14:paraId="620EFA6D" w14:textId="0A47871F" w:rsidR="00AC7F8A" w:rsidRPr="00994CB8" w:rsidRDefault="00AC7F8A" w:rsidP="00AC7F8A">
      <w:pPr>
        <w:pStyle w:val="INCISO"/>
        <w:spacing w:after="0" w:line="240" w:lineRule="exact"/>
      </w:pPr>
      <w:r w:rsidRPr="00994CB8">
        <w:t>a)</w:t>
      </w:r>
      <w:r w:rsidRPr="00994CB8">
        <w:tab/>
        <w:t>Principales Políticas de control interno</w:t>
      </w:r>
      <w:r w:rsidR="00B86E68">
        <w:t>.</w:t>
      </w:r>
    </w:p>
    <w:p w14:paraId="620EFA6E" w14:textId="77777777" w:rsidR="00AC7F8A" w:rsidRPr="00630DB0" w:rsidRDefault="00AC7F8A" w:rsidP="00AC7F8A">
      <w:pPr>
        <w:pStyle w:val="INCISO"/>
        <w:spacing w:after="0" w:line="240" w:lineRule="exact"/>
      </w:pPr>
      <w:r w:rsidRPr="00994CB8">
        <w:t>b)</w:t>
      </w:r>
      <w:r w:rsidRPr="00994CB8">
        <w:tab/>
        <w:t>Medidas de desempeño financiero, metas y alcance.</w:t>
      </w:r>
    </w:p>
    <w:p w14:paraId="620EFA6F" w14:textId="77777777" w:rsidR="00AC7F8A" w:rsidRPr="00630DB0" w:rsidRDefault="00AC7F8A" w:rsidP="00AC7F8A">
      <w:pPr>
        <w:pStyle w:val="INCISO"/>
        <w:spacing w:after="0" w:line="240" w:lineRule="exact"/>
      </w:pPr>
    </w:p>
    <w:p w14:paraId="620EFA70" w14:textId="77777777" w:rsidR="00AC7F8A" w:rsidRPr="00630DB0" w:rsidRDefault="00AC7F8A" w:rsidP="00AC7F8A">
      <w:pPr>
        <w:pStyle w:val="Texto"/>
        <w:spacing w:after="0" w:line="240" w:lineRule="exact"/>
        <w:rPr>
          <w:b/>
          <w:szCs w:val="18"/>
          <w:lang w:val="es-MX"/>
        </w:rPr>
      </w:pPr>
      <w:r w:rsidRPr="00630DB0">
        <w:rPr>
          <w:b/>
          <w:szCs w:val="18"/>
          <w:lang w:val="es-MX"/>
        </w:rPr>
        <w:t>Información por Segmentos</w:t>
      </w:r>
    </w:p>
    <w:p w14:paraId="620EFA71" w14:textId="77777777" w:rsidR="00AC7F8A" w:rsidRDefault="00AC7F8A" w:rsidP="00AC7F8A">
      <w:pPr>
        <w:pStyle w:val="Texto"/>
        <w:spacing w:after="0" w:line="240" w:lineRule="exact"/>
        <w:rPr>
          <w:szCs w:val="18"/>
          <w:lang w:val="es-MX"/>
        </w:rPr>
      </w:pPr>
      <w:r>
        <w:rPr>
          <w:szCs w:val="18"/>
          <w:lang w:val="es-MX"/>
        </w:rPr>
        <w:t>La información que se presenta concentra las actividades y operaciones que realiza OPD Salud de Tlaxcala.</w:t>
      </w:r>
    </w:p>
    <w:p w14:paraId="620EFA72" w14:textId="77777777" w:rsidR="00AC7F8A" w:rsidRPr="00630DB0" w:rsidRDefault="00AC7F8A" w:rsidP="00AC7F8A">
      <w:pPr>
        <w:pStyle w:val="Texto"/>
        <w:spacing w:after="0" w:line="240" w:lineRule="exact"/>
        <w:rPr>
          <w:szCs w:val="18"/>
          <w:lang w:val="es-MX"/>
        </w:rPr>
      </w:pPr>
    </w:p>
    <w:p w14:paraId="620EFA73" w14:textId="77777777" w:rsidR="00AC7F8A" w:rsidRPr="00630DB0" w:rsidRDefault="00AC7F8A" w:rsidP="00AC7F8A">
      <w:pPr>
        <w:pStyle w:val="Texto"/>
        <w:spacing w:after="0" w:line="240" w:lineRule="exact"/>
        <w:rPr>
          <w:b/>
          <w:szCs w:val="18"/>
          <w:lang w:val="es-MX"/>
        </w:rPr>
      </w:pPr>
      <w:r w:rsidRPr="00630DB0">
        <w:rPr>
          <w:b/>
          <w:szCs w:val="18"/>
          <w:lang w:val="es-MX"/>
        </w:rPr>
        <w:t>Eventos Posteriores al Cierre</w:t>
      </w:r>
    </w:p>
    <w:p w14:paraId="620EFA74" w14:textId="77777777" w:rsidR="00AC7F8A" w:rsidRDefault="00AC7F8A" w:rsidP="00AC7F8A">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620EFA75" w14:textId="77777777" w:rsidR="00AC7F8A" w:rsidRPr="00630DB0" w:rsidRDefault="00AC7F8A" w:rsidP="00AC7F8A">
      <w:pPr>
        <w:pStyle w:val="Texto"/>
        <w:spacing w:after="0" w:line="240" w:lineRule="exact"/>
        <w:ind w:left="708" w:firstLine="0"/>
        <w:rPr>
          <w:szCs w:val="18"/>
        </w:rPr>
      </w:pPr>
    </w:p>
    <w:p w14:paraId="620EFA76" w14:textId="77777777" w:rsidR="00AC7F8A" w:rsidRPr="00630DB0" w:rsidRDefault="00AC7F8A" w:rsidP="00AC7F8A">
      <w:pPr>
        <w:pStyle w:val="Texto"/>
        <w:spacing w:after="0" w:line="240" w:lineRule="exact"/>
        <w:ind w:firstLine="0"/>
        <w:rPr>
          <w:szCs w:val="18"/>
        </w:rPr>
      </w:pPr>
    </w:p>
    <w:p w14:paraId="620EFA77" w14:textId="77777777" w:rsidR="00AC7F8A" w:rsidRDefault="00AC7F8A" w:rsidP="00AC7F8A">
      <w:pPr>
        <w:pStyle w:val="Texto"/>
        <w:spacing w:after="0" w:line="240" w:lineRule="exact"/>
        <w:rPr>
          <w:b/>
          <w:szCs w:val="18"/>
          <w:lang w:val="es-MX"/>
        </w:rPr>
      </w:pPr>
    </w:p>
    <w:p w14:paraId="620EFA78" w14:textId="6500970B" w:rsidR="00AC7F8A" w:rsidRDefault="00AC7F8A" w:rsidP="00AC7F8A">
      <w:pPr>
        <w:pStyle w:val="Texto"/>
        <w:spacing w:after="0" w:line="240" w:lineRule="exact"/>
        <w:rPr>
          <w:b/>
          <w:szCs w:val="18"/>
          <w:lang w:val="es-MX"/>
        </w:rPr>
      </w:pPr>
    </w:p>
    <w:p w14:paraId="62AF6EFD" w14:textId="77777777" w:rsidR="001A7F34" w:rsidRDefault="001A7F34" w:rsidP="00AC7F8A">
      <w:pPr>
        <w:pStyle w:val="Texto"/>
        <w:spacing w:after="0" w:line="240" w:lineRule="exact"/>
        <w:rPr>
          <w:b/>
          <w:szCs w:val="18"/>
          <w:lang w:val="es-MX"/>
        </w:rPr>
      </w:pPr>
    </w:p>
    <w:p w14:paraId="620EFA79" w14:textId="77777777" w:rsidR="00AC7F8A" w:rsidRPr="00630DB0" w:rsidRDefault="00AC7F8A" w:rsidP="00AC7F8A">
      <w:pPr>
        <w:pStyle w:val="Texto"/>
        <w:spacing w:after="0" w:line="240" w:lineRule="exact"/>
        <w:rPr>
          <w:b/>
          <w:szCs w:val="18"/>
          <w:lang w:val="es-MX"/>
        </w:rPr>
      </w:pPr>
      <w:r w:rsidRPr="00630DB0">
        <w:rPr>
          <w:b/>
          <w:szCs w:val="18"/>
          <w:lang w:val="es-MX"/>
        </w:rPr>
        <w:t>Partes Relacionadas</w:t>
      </w:r>
    </w:p>
    <w:p w14:paraId="620EFA7A" w14:textId="4BC12E8A" w:rsidR="00AC7F8A" w:rsidRPr="00630DB0" w:rsidRDefault="00AC7F8A" w:rsidP="00AC7F8A">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rsidR="005508C1">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620EFA7B" w14:textId="45FFE46D" w:rsidR="00AC7F8A" w:rsidRDefault="00AC7F8A" w:rsidP="00AC7F8A">
      <w:pPr>
        <w:pStyle w:val="Texto"/>
        <w:spacing w:after="0" w:line="240" w:lineRule="exact"/>
        <w:rPr>
          <w:szCs w:val="18"/>
        </w:rPr>
      </w:pPr>
    </w:p>
    <w:p w14:paraId="46D5D286" w14:textId="77777777" w:rsidR="00931406" w:rsidRDefault="00931406" w:rsidP="00931406">
      <w:pPr>
        <w:pStyle w:val="Texto"/>
        <w:ind w:left="284" w:firstLine="0"/>
      </w:pPr>
      <w:r>
        <w:t>S</w:t>
      </w:r>
      <w:r w:rsidRPr="001A7F34">
        <w:t xml:space="preserve">e informa que la Federación </w:t>
      </w:r>
      <w:r>
        <w:t xml:space="preserve">sigue sin notificar </w:t>
      </w:r>
      <w:r w:rsidRPr="001A7F34">
        <w:t xml:space="preserve">la ministración del recurso en especie </w:t>
      </w:r>
      <w:r>
        <w:t xml:space="preserve">(que debió haber sido el 31 de diciembre del 2020)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620EFA7C" w14:textId="77777777" w:rsidR="00AC7F8A" w:rsidRPr="00A30021" w:rsidRDefault="00AC7F8A" w:rsidP="00AC7F8A">
      <w:pPr>
        <w:pStyle w:val="Texto"/>
        <w:spacing w:after="0" w:line="240" w:lineRule="auto"/>
        <w:ind w:firstLine="289"/>
        <w:rPr>
          <w:b/>
          <w:szCs w:val="18"/>
        </w:rPr>
      </w:pPr>
    </w:p>
    <w:p w14:paraId="620EFA7D" w14:textId="77777777" w:rsidR="00AC7F8A" w:rsidRDefault="00AC7F8A" w:rsidP="00AC7F8A">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1A2E17B4" w14:textId="70A73D45" w:rsidR="005508C1" w:rsidRPr="00B32D71" w:rsidRDefault="00AC7F8A" w:rsidP="00B32D71">
      <w:pPr>
        <w:pStyle w:val="Texto"/>
        <w:spacing w:after="0" w:line="240" w:lineRule="exact"/>
        <w:ind w:left="284" w:firstLine="4"/>
        <w:rPr>
          <w:lang w:val="es-MX"/>
        </w:rPr>
      </w:pPr>
      <w:r w:rsidRPr="00B32D71">
        <w:rPr>
          <w:lang w:val="es-MX"/>
        </w:rPr>
        <w:t>Bajo protesta de decir verdad declaramos que los Estados Financieros y sus Notas</w:t>
      </w:r>
      <w:r w:rsidR="0089374A">
        <w:rPr>
          <w:lang w:val="es-MX"/>
        </w:rPr>
        <w:t>,</w:t>
      </w:r>
      <w:r w:rsidRPr="00B32D71">
        <w:rPr>
          <w:lang w:val="es-MX"/>
        </w:rPr>
        <w:t xml:space="preserve"> son razonablemente correctos y responsabilidad del emisor</w:t>
      </w:r>
      <w:r w:rsidR="00897E2F">
        <w:rPr>
          <w:lang w:val="es-MX"/>
        </w:rPr>
        <w:t>.</w:t>
      </w:r>
    </w:p>
    <w:p w14:paraId="620EFA7E" w14:textId="75501427" w:rsidR="00AC7F8A" w:rsidRDefault="00AC7F8A" w:rsidP="00AC7F8A">
      <w:pPr>
        <w:pStyle w:val="Texto"/>
        <w:spacing w:after="0" w:line="240" w:lineRule="auto"/>
        <w:ind w:firstLine="289"/>
        <w:rPr>
          <w:szCs w:val="18"/>
        </w:rPr>
      </w:pPr>
    </w:p>
    <w:p w14:paraId="620EFA85" w14:textId="77777777" w:rsidR="00A16749" w:rsidRDefault="00A16749" w:rsidP="00AC7F8A">
      <w:pPr>
        <w:pStyle w:val="Texto"/>
        <w:spacing w:after="0" w:line="240" w:lineRule="auto"/>
        <w:ind w:firstLine="289"/>
        <w:rPr>
          <w:szCs w:val="18"/>
          <w:lang w:val="es-MX"/>
        </w:rPr>
      </w:pPr>
    </w:p>
    <w:p w14:paraId="620EFA86" w14:textId="77777777" w:rsidR="00A16749" w:rsidRDefault="00A16749" w:rsidP="00AC7F8A">
      <w:pPr>
        <w:pStyle w:val="Texto"/>
        <w:spacing w:after="0" w:line="240" w:lineRule="auto"/>
        <w:ind w:firstLine="289"/>
        <w:rPr>
          <w:szCs w:val="18"/>
          <w:lang w:val="es-MX"/>
        </w:rPr>
      </w:pPr>
    </w:p>
    <w:p w14:paraId="620EFA87" w14:textId="77777777" w:rsidR="00AC7F8A" w:rsidRDefault="00AC7F8A" w:rsidP="00AC7F8A">
      <w:pPr>
        <w:pStyle w:val="Texto"/>
        <w:spacing w:after="0" w:line="240" w:lineRule="auto"/>
        <w:ind w:firstLine="289"/>
        <w:rPr>
          <w:szCs w:val="18"/>
          <w:lang w:val="es-MX"/>
        </w:rPr>
      </w:pPr>
    </w:p>
    <w:p w14:paraId="620EFA88" w14:textId="77777777" w:rsidR="00AC7F8A" w:rsidRDefault="00AC7F8A" w:rsidP="00AC7F8A">
      <w:pPr>
        <w:pStyle w:val="Texto"/>
        <w:spacing w:after="0" w:line="240" w:lineRule="auto"/>
        <w:ind w:firstLine="289"/>
        <w:rPr>
          <w:szCs w:val="18"/>
          <w:lang w:val="es-MX"/>
        </w:rPr>
      </w:pPr>
    </w:p>
    <w:p w14:paraId="620EFA89" w14:textId="77777777" w:rsidR="00AC7F8A" w:rsidRPr="00630DB0" w:rsidRDefault="00AC7F8A" w:rsidP="00AC7F8A">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5033"/>
        <w:gridCol w:w="2379"/>
        <w:gridCol w:w="4893"/>
        <w:gridCol w:w="551"/>
      </w:tblGrid>
      <w:tr w:rsidR="00AC7F8A" w:rsidRPr="00630DB0" w14:paraId="620EFA8F" w14:textId="77777777" w:rsidTr="00AD6257">
        <w:trPr>
          <w:trHeight w:val="300"/>
        </w:trPr>
        <w:tc>
          <w:tcPr>
            <w:tcW w:w="959" w:type="dxa"/>
            <w:noWrap/>
            <w:hideMark/>
          </w:tcPr>
          <w:p w14:paraId="620EFA8A"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620EFA8B" w14:textId="29F281E3" w:rsidR="00AC7F8A" w:rsidRPr="00630DB0" w:rsidRDefault="00AC7F8A" w:rsidP="00AD6257">
            <w:pPr>
              <w:pStyle w:val="Texto"/>
              <w:spacing w:after="0" w:line="240" w:lineRule="auto"/>
              <w:ind w:firstLine="0"/>
              <w:jc w:val="center"/>
              <w:rPr>
                <w:szCs w:val="18"/>
              </w:rPr>
            </w:pPr>
            <w:r w:rsidRPr="00630DB0">
              <w:rPr>
                <w:szCs w:val="18"/>
              </w:rPr>
              <w:t xml:space="preserve">Dr. </w:t>
            </w:r>
            <w:r w:rsidR="00F479CD">
              <w:rPr>
                <w:szCs w:val="18"/>
              </w:rPr>
              <w:t>Rigoberto Zamudio Meneses</w:t>
            </w:r>
          </w:p>
        </w:tc>
        <w:tc>
          <w:tcPr>
            <w:tcW w:w="2410" w:type="dxa"/>
            <w:noWrap/>
            <w:hideMark/>
          </w:tcPr>
          <w:p w14:paraId="620EFA8C" w14:textId="77777777" w:rsidR="00AC7F8A" w:rsidRPr="00630DB0" w:rsidRDefault="00AC7F8A" w:rsidP="00AD6257">
            <w:pPr>
              <w:pStyle w:val="Texto"/>
              <w:spacing w:after="0" w:line="240" w:lineRule="auto"/>
              <w:ind w:firstLine="289"/>
              <w:jc w:val="center"/>
              <w:rPr>
                <w:szCs w:val="18"/>
              </w:rPr>
            </w:pPr>
          </w:p>
        </w:tc>
        <w:tc>
          <w:tcPr>
            <w:tcW w:w="4961" w:type="dxa"/>
            <w:tcBorders>
              <w:top w:val="single" w:sz="4" w:space="0" w:color="auto"/>
            </w:tcBorders>
            <w:noWrap/>
            <w:hideMark/>
          </w:tcPr>
          <w:p w14:paraId="620EFA8D" w14:textId="6A27244A" w:rsidR="00AC7F8A" w:rsidRPr="00630DB0" w:rsidRDefault="00F479CD" w:rsidP="00AD6257">
            <w:pPr>
              <w:pStyle w:val="Texto"/>
              <w:spacing w:after="0" w:line="240" w:lineRule="auto"/>
              <w:ind w:firstLine="0"/>
              <w:jc w:val="center"/>
              <w:rPr>
                <w:szCs w:val="18"/>
              </w:rPr>
            </w:pPr>
            <w:r>
              <w:rPr>
                <w:szCs w:val="18"/>
              </w:rPr>
              <w:t>Lic. Claudi</w:t>
            </w:r>
            <w:bookmarkStart w:id="4" w:name="_GoBack"/>
            <w:bookmarkEnd w:id="4"/>
            <w:r>
              <w:rPr>
                <w:szCs w:val="18"/>
              </w:rPr>
              <w:t xml:space="preserve">a </w:t>
            </w:r>
            <w:proofErr w:type="spellStart"/>
            <w:r>
              <w:rPr>
                <w:szCs w:val="18"/>
              </w:rPr>
              <w:t>Ricela</w:t>
            </w:r>
            <w:proofErr w:type="spellEnd"/>
            <w:r>
              <w:rPr>
                <w:szCs w:val="18"/>
              </w:rPr>
              <w:t xml:space="preserve"> Muñoz Salomón</w:t>
            </w:r>
          </w:p>
        </w:tc>
        <w:tc>
          <w:tcPr>
            <w:tcW w:w="425" w:type="dxa"/>
            <w:noWrap/>
            <w:hideMark/>
          </w:tcPr>
          <w:p w14:paraId="620EFA8E" w14:textId="77777777" w:rsidR="00AC7F8A" w:rsidRPr="00630DB0" w:rsidRDefault="00AC7F8A" w:rsidP="00AD6257">
            <w:pPr>
              <w:pStyle w:val="Texto"/>
              <w:spacing w:after="0" w:line="240" w:lineRule="auto"/>
              <w:ind w:firstLine="289"/>
              <w:rPr>
                <w:szCs w:val="18"/>
              </w:rPr>
            </w:pPr>
            <w:r w:rsidRPr="00630DB0">
              <w:rPr>
                <w:szCs w:val="18"/>
              </w:rPr>
              <w:t> </w:t>
            </w:r>
          </w:p>
        </w:tc>
      </w:tr>
      <w:tr w:rsidR="00AC7F8A" w:rsidRPr="00630DB0" w14:paraId="620EFA95" w14:textId="77777777" w:rsidTr="00AD6257">
        <w:trPr>
          <w:trHeight w:val="426"/>
        </w:trPr>
        <w:tc>
          <w:tcPr>
            <w:tcW w:w="959" w:type="dxa"/>
            <w:noWrap/>
            <w:hideMark/>
          </w:tcPr>
          <w:p w14:paraId="620EFA90"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hideMark/>
          </w:tcPr>
          <w:p w14:paraId="620EFA91" w14:textId="77777777" w:rsidR="00AC7F8A" w:rsidRPr="00630DB0" w:rsidRDefault="00AC7F8A" w:rsidP="00AD6257">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620EFA92" w14:textId="77777777" w:rsidR="00AC7F8A" w:rsidRPr="00630DB0" w:rsidRDefault="00AC7F8A" w:rsidP="00AD6257">
            <w:pPr>
              <w:pStyle w:val="Texto"/>
              <w:spacing w:after="0" w:line="240" w:lineRule="auto"/>
              <w:ind w:firstLine="289"/>
              <w:jc w:val="center"/>
              <w:rPr>
                <w:szCs w:val="18"/>
              </w:rPr>
            </w:pPr>
          </w:p>
        </w:tc>
        <w:tc>
          <w:tcPr>
            <w:tcW w:w="4961" w:type="dxa"/>
            <w:hideMark/>
          </w:tcPr>
          <w:p w14:paraId="620EFA93" w14:textId="77777777" w:rsidR="00AC7F8A" w:rsidRPr="00630DB0" w:rsidRDefault="00AC7F8A" w:rsidP="00AD6257">
            <w:pPr>
              <w:pStyle w:val="Texto"/>
              <w:spacing w:after="0" w:line="240" w:lineRule="auto"/>
              <w:ind w:firstLine="0"/>
              <w:jc w:val="center"/>
              <w:rPr>
                <w:szCs w:val="18"/>
              </w:rPr>
            </w:pPr>
            <w:r w:rsidRPr="00630DB0">
              <w:rPr>
                <w:szCs w:val="18"/>
              </w:rPr>
              <w:t>Director</w:t>
            </w:r>
            <w:r>
              <w:rPr>
                <w:szCs w:val="18"/>
              </w:rPr>
              <w:t>a</w:t>
            </w:r>
            <w:r w:rsidRPr="00630DB0">
              <w:rPr>
                <w:szCs w:val="18"/>
              </w:rPr>
              <w:t xml:space="preserve"> de Administración de la Secretaría de Salud y O.P.D. Salud de Tlaxcala</w:t>
            </w:r>
          </w:p>
        </w:tc>
        <w:tc>
          <w:tcPr>
            <w:tcW w:w="425" w:type="dxa"/>
            <w:noWrap/>
            <w:hideMark/>
          </w:tcPr>
          <w:p w14:paraId="620EFA94" w14:textId="77777777" w:rsidR="00AC7F8A" w:rsidRPr="00630DB0" w:rsidRDefault="00AC7F8A" w:rsidP="00AD6257">
            <w:pPr>
              <w:pStyle w:val="Texto"/>
              <w:spacing w:after="0" w:line="240" w:lineRule="auto"/>
              <w:ind w:firstLine="289"/>
              <w:rPr>
                <w:szCs w:val="18"/>
              </w:rPr>
            </w:pPr>
            <w:r w:rsidRPr="00630DB0">
              <w:rPr>
                <w:szCs w:val="18"/>
              </w:rPr>
              <w:t> </w:t>
            </w:r>
          </w:p>
        </w:tc>
      </w:tr>
    </w:tbl>
    <w:p w14:paraId="620EFA97" w14:textId="77777777" w:rsidR="00001107" w:rsidRPr="006130D1" w:rsidRDefault="00001107" w:rsidP="00A30021">
      <w:pPr>
        <w:pStyle w:val="Texto"/>
        <w:spacing w:after="0" w:line="240" w:lineRule="exact"/>
        <w:rPr>
          <w:szCs w:val="18"/>
          <w:lang w:val="es-MX"/>
        </w:rPr>
      </w:pPr>
    </w:p>
    <w:sectPr w:rsidR="00001107" w:rsidRPr="006130D1" w:rsidSect="00083F22">
      <w:headerReference w:type="even" r:id="rId27"/>
      <w:headerReference w:type="default" r:id="rId28"/>
      <w:footerReference w:type="even" r:id="rId29"/>
      <w:footerReference w:type="default" r:id="rId30"/>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F4906" w14:textId="77777777" w:rsidR="00D565C6" w:rsidRDefault="00D565C6" w:rsidP="00EA5418">
      <w:pPr>
        <w:spacing w:after="0" w:line="240" w:lineRule="auto"/>
      </w:pPr>
      <w:r>
        <w:separator/>
      </w:r>
    </w:p>
  </w:endnote>
  <w:endnote w:type="continuationSeparator" w:id="0">
    <w:p w14:paraId="095C1469" w14:textId="77777777" w:rsidR="00D565C6" w:rsidRDefault="00D565C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Calibri"/>
    <w:panose1 w:val="00000000000000000000"/>
    <w:charset w:val="00"/>
    <w:family w:val="modern"/>
    <w:notTrueType/>
    <w:pitch w:val="variable"/>
    <w:sig w:usb0="00000003" w:usb1="4000204B"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Calibri"/>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A" w14:textId="77777777" w:rsidR="00D565C6" w:rsidRPr="0013011C" w:rsidRDefault="00D565C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20EFAB3" wp14:editId="620EFAB4">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6D87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" strokecolor="#632523"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4A30B5">
          <w:rPr>
            <w:rFonts w:ascii="Soberana Sans Light" w:hAnsi="Soberana Sans Light"/>
            <w:noProof/>
            <w:lang w:val="es-ES"/>
          </w:rPr>
          <w:t>20</w:t>
        </w:r>
        <w:r w:rsidRPr="0013011C">
          <w:rPr>
            <w:rFonts w:ascii="Soberana Sans Light" w:hAnsi="Soberana Sans Light"/>
          </w:rPr>
          <w:fldChar w:fldCharType="end"/>
        </w:r>
      </w:sdtContent>
    </w:sdt>
  </w:p>
  <w:p w14:paraId="620EFAAB" w14:textId="77777777" w:rsidR="00D565C6" w:rsidRDefault="00D565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C" w14:textId="77777777" w:rsidR="00D565C6" w:rsidRPr="008E3652" w:rsidRDefault="00D565C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20EFAB5" wp14:editId="620EFAB6">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121FF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" strokecolor="#632523" strokeweight="1.5pt"/>
          </w:pict>
        </mc:Fallback>
      </mc:AlternateContent>
    </w:r>
    <w:sdt>
      <w:sdtPr>
        <w:rPr>
          <w:rFonts w:ascii="Soberana Sans Light" w:hAnsi="Soberana Sans Light"/>
        </w:rPr>
        <w:id w:val="-905222327"/>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4A30B5">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DD20E" w14:textId="77777777" w:rsidR="00D565C6" w:rsidRDefault="00D565C6" w:rsidP="00EA5418">
      <w:pPr>
        <w:spacing w:after="0" w:line="240" w:lineRule="auto"/>
      </w:pPr>
      <w:r>
        <w:separator/>
      </w:r>
    </w:p>
  </w:footnote>
  <w:footnote w:type="continuationSeparator" w:id="0">
    <w:p w14:paraId="537D5045" w14:textId="77777777" w:rsidR="00D565C6" w:rsidRDefault="00D565C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8" w14:textId="77777777" w:rsidR="00D565C6" w:rsidRDefault="00D565C6">
    <w:pPr>
      <w:pStyle w:val="Encabezado"/>
    </w:pPr>
    <w:r>
      <w:rPr>
        <w:noProof/>
        <w:lang w:eastAsia="es-MX"/>
      </w:rPr>
      <mc:AlternateContent>
        <mc:Choice Requires="wpg">
          <w:drawing>
            <wp:anchor distT="0" distB="0" distL="114300" distR="114300" simplePos="0" relativeHeight="251665408" behindDoc="0" locked="0" layoutInCell="1" allowOverlap="1" wp14:anchorId="620EFAAD" wp14:editId="620EFAA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BD" w14:textId="77777777" w:rsidR="00D565C6" w:rsidRDefault="00D565C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D565C6" w:rsidRDefault="00D565C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D565C6" w:rsidRPr="00275FC6" w:rsidRDefault="00D565C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C0" w14:textId="6E4F7150" w:rsidR="00D565C6" w:rsidRDefault="00D565C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620EFAC1" w14:textId="77777777" w:rsidR="00D565C6" w:rsidRDefault="00D565C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D565C6" w:rsidRPr="00275FC6" w:rsidRDefault="00D565C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20EFAAD"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20EFABD" w14:textId="77777777" w:rsidR="003E1FD7" w:rsidRDefault="003E1FD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3E1FD7" w:rsidRDefault="003E1FD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3E1FD7" w:rsidRPr="00275FC6" w:rsidRDefault="003E1FD7"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20EFAC0" w14:textId="6E4F7150" w:rsidR="003E1FD7" w:rsidRDefault="003E1FD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620EFAC1" w14:textId="77777777" w:rsidR="003E1FD7" w:rsidRDefault="003E1FD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3E1FD7" w:rsidRPr="00275FC6" w:rsidRDefault="003E1FD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20EFAAF" wp14:editId="620EFAB0">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058CF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" strokecolor="#632523"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9" w14:textId="77777777" w:rsidR="00D565C6" w:rsidRPr="0013011C" w:rsidRDefault="00D565C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620EFAB1" wp14:editId="620EFAB2">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FC58CF"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" strokecolor="#632523"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26DB"/>
    <w:rsid w:val="00003BED"/>
    <w:rsid w:val="000120B5"/>
    <w:rsid w:val="00012D7C"/>
    <w:rsid w:val="00022F30"/>
    <w:rsid w:val="000240AB"/>
    <w:rsid w:val="00026275"/>
    <w:rsid w:val="0002764A"/>
    <w:rsid w:val="00032F70"/>
    <w:rsid w:val="00033B87"/>
    <w:rsid w:val="00033FA2"/>
    <w:rsid w:val="00034DE7"/>
    <w:rsid w:val="000358A7"/>
    <w:rsid w:val="000365F5"/>
    <w:rsid w:val="00040466"/>
    <w:rsid w:val="0004162A"/>
    <w:rsid w:val="00041D47"/>
    <w:rsid w:val="00043178"/>
    <w:rsid w:val="0004354B"/>
    <w:rsid w:val="00045A10"/>
    <w:rsid w:val="0004695A"/>
    <w:rsid w:val="00047568"/>
    <w:rsid w:val="00051D68"/>
    <w:rsid w:val="00054F1E"/>
    <w:rsid w:val="00055830"/>
    <w:rsid w:val="00057368"/>
    <w:rsid w:val="00060117"/>
    <w:rsid w:val="0006056E"/>
    <w:rsid w:val="0006654C"/>
    <w:rsid w:val="00075041"/>
    <w:rsid w:val="00082C0D"/>
    <w:rsid w:val="00083F22"/>
    <w:rsid w:val="00092B88"/>
    <w:rsid w:val="000A44DB"/>
    <w:rsid w:val="000A45F6"/>
    <w:rsid w:val="000A5FCF"/>
    <w:rsid w:val="000B1720"/>
    <w:rsid w:val="000B6C7A"/>
    <w:rsid w:val="000C02B3"/>
    <w:rsid w:val="000C2891"/>
    <w:rsid w:val="000C464D"/>
    <w:rsid w:val="000C5DCB"/>
    <w:rsid w:val="000C6DC8"/>
    <w:rsid w:val="000D1497"/>
    <w:rsid w:val="000D5AE3"/>
    <w:rsid w:val="000E0F57"/>
    <w:rsid w:val="000E299E"/>
    <w:rsid w:val="000E536D"/>
    <w:rsid w:val="000E6587"/>
    <w:rsid w:val="000F162D"/>
    <w:rsid w:val="000F28C1"/>
    <w:rsid w:val="000F34EC"/>
    <w:rsid w:val="000F4F8C"/>
    <w:rsid w:val="000F59F8"/>
    <w:rsid w:val="000F7C75"/>
    <w:rsid w:val="00100132"/>
    <w:rsid w:val="00102D24"/>
    <w:rsid w:val="0010753A"/>
    <w:rsid w:val="0011163A"/>
    <w:rsid w:val="00112821"/>
    <w:rsid w:val="00112900"/>
    <w:rsid w:val="00114A66"/>
    <w:rsid w:val="001158FB"/>
    <w:rsid w:val="00120DE9"/>
    <w:rsid w:val="001212A3"/>
    <w:rsid w:val="0013011C"/>
    <w:rsid w:val="00133BE7"/>
    <w:rsid w:val="00134A99"/>
    <w:rsid w:val="001366B8"/>
    <w:rsid w:val="0014070C"/>
    <w:rsid w:val="00140D99"/>
    <w:rsid w:val="001432AB"/>
    <w:rsid w:val="00144A4C"/>
    <w:rsid w:val="00147005"/>
    <w:rsid w:val="0015416F"/>
    <w:rsid w:val="00155609"/>
    <w:rsid w:val="00155D2E"/>
    <w:rsid w:val="00165BB4"/>
    <w:rsid w:val="00170684"/>
    <w:rsid w:val="00170C1D"/>
    <w:rsid w:val="00171C23"/>
    <w:rsid w:val="001768FA"/>
    <w:rsid w:val="00176993"/>
    <w:rsid w:val="00182889"/>
    <w:rsid w:val="0019169A"/>
    <w:rsid w:val="0019580B"/>
    <w:rsid w:val="001A2994"/>
    <w:rsid w:val="001A3EB2"/>
    <w:rsid w:val="001A3FF6"/>
    <w:rsid w:val="001A4358"/>
    <w:rsid w:val="001A5B66"/>
    <w:rsid w:val="001A7781"/>
    <w:rsid w:val="001A7F34"/>
    <w:rsid w:val="001B03C7"/>
    <w:rsid w:val="001B1B72"/>
    <w:rsid w:val="001B3610"/>
    <w:rsid w:val="001C21BB"/>
    <w:rsid w:val="001C26AA"/>
    <w:rsid w:val="001C2DEA"/>
    <w:rsid w:val="001C45A6"/>
    <w:rsid w:val="001C6FD8"/>
    <w:rsid w:val="001D48F8"/>
    <w:rsid w:val="001D64A5"/>
    <w:rsid w:val="001E0E84"/>
    <w:rsid w:val="001E4CC8"/>
    <w:rsid w:val="001E5882"/>
    <w:rsid w:val="001E6AFC"/>
    <w:rsid w:val="001E7072"/>
    <w:rsid w:val="001F011A"/>
    <w:rsid w:val="001F2C9A"/>
    <w:rsid w:val="001F627C"/>
    <w:rsid w:val="00204C86"/>
    <w:rsid w:val="0021009F"/>
    <w:rsid w:val="00211B45"/>
    <w:rsid w:val="00213DCE"/>
    <w:rsid w:val="00214D3F"/>
    <w:rsid w:val="00222D69"/>
    <w:rsid w:val="002248A6"/>
    <w:rsid w:val="00227B7C"/>
    <w:rsid w:val="00227CA0"/>
    <w:rsid w:val="00232EA6"/>
    <w:rsid w:val="00242DC8"/>
    <w:rsid w:val="00247CA8"/>
    <w:rsid w:val="00247E6C"/>
    <w:rsid w:val="00250686"/>
    <w:rsid w:val="002509E8"/>
    <w:rsid w:val="00260E91"/>
    <w:rsid w:val="00262851"/>
    <w:rsid w:val="00264426"/>
    <w:rsid w:val="002644BD"/>
    <w:rsid w:val="002715B0"/>
    <w:rsid w:val="002728B8"/>
    <w:rsid w:val="00273C91"/>
    <w:rsid w:val="00274279"/>
    <w:rsid w:val="00274905"/>
    <w:rsid w:val="0027528C"/>
    <w:rsid w:val="00280993"/>
    <w:rsid w:val="002839FB"/>
    <w:rsid w:val="00283B02"/>
    <w:rsid w:val="00285012"/>
    <w:rsid w:val="002872EC"/>
    <w:rsid w:val="00290B13"/>
    <w:rsid w:val="002972AA"/>
    <w:rsid w:val="002A179B"/>
    <w:rsid w:val="002A29FA"/>
    <w:rsid w:val="002A5938"/>
    <w:rsid w:val="002A70B3"/>
    <w:rsid w:val="002B14A4"/>
    <w:rsid w:val="002B25BC"/>
    <w:rsid w:val="002B2BD7"/>
    <w:rsid w:val="002B33FC"/>
    <w:rsid w:val="002B3AF4"/>
    <w:rsid w:val="002B46F5"/>
    <w:rsid w:val="002B7D2E"/>
    <w:rsid w:val="002C00A7"/>
    <w:rsid w:val="002C012E"/>
    <w:rsid w:val="002C2EA9"/>
    <w:rsid w:val="002C34A7"/>
    <w:rsid w:val="002C6BD8"/>
    <w:rsid w:val="002D1811"/>
    <w:rsid w:val="002D1E17"/>
    <w:rsid w:val="002D2D80"/>
    <w:rsid w:val="002D6D41"/>
    <w:rsid w:val="002E2914"/>
    <w:rsid w:val="002E38A5"/>
    <w:rsid w:val="002E5ED2"/>
    <w:rsid w:val="002F2346"/>
    <w:rsid w:val="002F3894"/>
    <w:rsid w:val="002F4067"/>
    <w:rsid w:val="002F653B"/>
    <w:rsid w:val="003018C5"/>
    <w:rsid w:val="003044E6"/>
    <w:rsid w:val="003105A5"/>
    <w:rsid w:val="00311750"/>
    <w:rsid w:val="0031232F"/>
    <w:rsid w:val="003150CC"/>
    <w:rsid w:val="00316766"/>
    <w:rsid w:val="00316A81"/>
    <w:rsid w:val="003206ED"/>
    <w:rsid w:val="003211CB"/>
    <w:rsid w:val="00323DA4"/>
    <w:rsid w:val="00327241"/>
    <w:rsid w:val="00336532"/>
    <w:rsid w:val="00336D6C"/>
    <w:rsid w:val="003428E7"/>
    <w:rsid w:val="00343090"/>
    <w:rsid w:val="003535EC"/>
    <w:rsid w:val="00362148"/>
    <w:rsid w:val="00367C3F"/>
    <w:rsid w:val="00372F40"/>
    <w:rsid w:val="003753AD"/>
    <w:rsid w:val="00383209"/>
    <w:rsid w:val="00387376"/>
    <w:rsid w:val="0038789E"/>
    <w:rsid w:val="00390AEF"/>
    <w:rsid w:val="0039523A"/>
    <w:rsid w:val="003966F6"/>
    <w:rsid w:val="00396C2B"/>
    <w:rsid w:val="003A0303"/>
    <w:rsid w:val="003A1877"/>
    <w:rsid w:val="003A5953"/>
    <w:rsid w:val="003B03F9"/>
    <w:rsid w:val="003B2EB5"/>
    <w:rsid w:val="003C04D8"/>
    <w:rsid w:val="003C1E83"/>
    <w:rsid w:val="003C264A"/>
    <w:rsid w:val="003C398A"/>
    <w:rsid w:val="003C3F18"/>
    <w:rsid w:val="003C4E6B"/>
    <w:rsid w:val="003D08C0"/>
    <w:rsid w:val="003D0B51"/>
    <w:rsid w:val="003D33A0"/>
    <w:rsid w:val="003D5DBF"/>
    <w:rsid w:val="003D5EC5"/>
    <w:rsid w:val="003E1FD7"/>
    <w:rsid w:val="003E5CD4"/>
    <w:rsid w:val="003E7FD0"/>
    <w:rsid w:val="003F0EA4"/>
    <w:rsid w:val="003F1C15"/>
    <w:rsid w:val="003F3006"/>
    <w:rsid w:val="003F4D7A"/>
    <w:rsid w:val="003F786B"/>
    <w:rsid w:val="0040417F"/>
    <w:rsid w:val="0040646F"/>
    <w:rsid w:val="0040666E"/>
    <w:rsid w:val="00417393"/>
    <w:rsid w:val="00420E80"/>
    <w:rsid w:val="00421166"/>
    <w:rsid w:val="0042374F"/>
    <w:rsid w:val="00430D57"/>
    <w:rsid w:val="004311BE"/>
    <w:rsid w:val="00434CDC"/>
    <w:rsid w:val="004354AD"/>
    <w:rsid w:val="0043609B"/>
    <w:rsid w:val="00441D24"/>
    <w:rsid w:val="00441F6E"/>
    <w:rsid w:val="0044253C"/>
    <w:rsid w:val="004431B3"/>
    <w:rsid w:val="00444E9B"/>
    <w:rsid w:val="00445D13"/>
    <w:rsid w:val="00446ACE"/>
    <w:rsid w:val="00450142"/>
    <w:rsid w:val="0045167D"/>
    <w:rsid w:val="004572C7"/>
    <w:rsid w:val="0045752B"/>
    <w:rsid w:val="00463C34"/>
    <w:rsid w:val="0046720D"/>
    <w:rsid w:val="0046745F"/>
    <w:rsid w:val="00467D58"/>
    <w:rsid w:val="0047075E"/>
    <w:rsid w:val="004714CF"/>
    <w:rsid w:val="004768A2"/>
    <w:rsid w:val="00481922"/>
    <w:rsid w:val="00483407"/>
    <w:rsid w:val="00483D82"/>
    <w:rsid w:val="00484C0D"/>
    <w:rsid w:val="0048534C"/>
    <w:rsid w:val="00486959"/>
    <w:rsid w:val="00491B3D"/>
    <w:rsid w:val="00493D6A"/>
    <w:rsid w:val="004967EE"/>
    <w:rsid w:val="00497D8B"/>
    <w:rsid w:val="004A30B5"/>
    <w:rsid w:val="004A4D4D"/>
    <w:rsid w:val="004A51C2"/>
    <w:rsid w:val="004A7C02"/>
    <w:rsid w:val="004B1F59"/>
    <w:rsid w:val="004B785F"/>
    <w:rsid w:val="004B7C96"/>
    <w:rsid w:val="004C322C"/>
    <w:rsid w:val="004D2257"/>
    <w:rsid w:val="004D41B8"/>
    <w:rsid w:val="004D4B95"/>
    <w:rsid w:val="004E0C52"/>
    <w:rsid w:val="004E271E"/>
    <w:rsid w:val="004E68A3"/>
    <w:rsid w:val="004F10D5"/>
    <w:rsid w:val="004F182E"/>
    <w:rsid w:val="004F5641"/>
    <w:rsid w:val="0050065A"/>
    <w:rsid w:val="00503FF5"/>
    <w:rsid w:val="005044CA"/>
    <w:rsid w:val="00507531"/>
    <w:rsid w:val="00511376"/>
    <w:rsid w:val="00514D0A"/>
    <w:rsid w:val="00516DD0"/>
    <w:rsid w:val="0051734E"/>
    <w:rsid w:val="00522632"/>
    <w:rsid w:val="00522EF3"/>
    <w:rsid w:val="00523296"/>
    <w:rsid w:val="0052635F"/>
    <w:rsid w:val="005325AD"/>
    <w:rsid w:val="0053393A"/>
    <w:rsid w:val="00536C46"/>
    <w:rsid w:val="00540418"/>
    <w:rsid w:val="00542E8C"/>
    <w:rsid w:val="005430E9"/>
    <w:rsid w:val="00543729"/>
    <w:rsid w:val="005460C7"/>
    <w:rsid w:val="00546D3F"/>
    <w:rsid w:val="005508C1"/>
    <w:rsid w:val="00551C31"/>
    <w:rsid w:val="00560359"/>
    <w:rsid w:val="005614C3"/>
    <w:rsid w:val="00561D8D"/>
    <w:rsid w:val="00562914"/>
    <w:rsid w:val="00565193"/>
    <w:rsid w:val="0056601E"/>
    <w:rsid w:val="0057306A"/>
    <w:rsid w:val="005737CC"/>
    <w:rsid w:val="00574266"/>
    <w:rsid w:val="00582401"/>
    <w:rsid w:val="005844D0"/>
    <w:rsid w:val="0058693F"/>
    <w:rsid w:val="0059131E"/>
    <w:rsid w:val="00591D51"/>
    <w:rsid w:val="00592BF9"/>
    <w:rsid w:val="005979E1"/>
    <w:rsid w:val="005A2DD6"/>
    <w:rsid w:val="005A7647"/>
    <w:rsid w:val="005B3F10"/>
    <w:rsid w:val="005B4F6D"/>
    <w:rsid w:val="005B7AEF"/>
    <w:rsid w:val="005C08E2"/>
    <w:rsid w:val="005C093D"/>
    <w:rsid w:val="005C09F0"/>
    <w:rsid w:val="005C0FD1"/>
    <w:rsid w:val="005C41CB"/>
    <w:rsid w:val="005D0642"/>
    <w:rsid w:val="005D15F7"/>
    <w:rsid w:val="005D3D25"/>
    <w:rsid w:val="005D40ED"/>
    <w:rsid w:val="005D423E"/>
    <w:rsid w:val="005E4A89"/>
    <w:rsid w:val="005F6CB5"/>
    <w:rsid w:val="00604B87"/>
    <w:rsid w:val="00606214"/>
    <w:rsid w:val="00610A05"/>
    <w:rsid w:val="00611646"/>
    <w:rsid w:val="00612580"/>
    <w:rsid w:val="006130D1"/>
    <w:rsid w:val="006132C4"/>
    <w:rsid w:val="0061484D"/>
    <w:rsid w:val="006227B7"/>
    <w:rsid w:val="00624EFC"/>
    <w:rsid w:val="0062599C"/>
    <w:rsid w:val="00630DB0"/>
    <w:rsid w:val="00630E71"/>
    <w:rsid w:val="006378AC"/>
    <w:rsid w:val="006378D4"/>
    <w:rsid w:val="00644858"/>
    <w:rsid w:val="00654661"/>
    <w:rsid w:val="00656FCB"/>
    <w:rsid w:val="0065734C"/>
    <w:rsid w:val="0065735D"/>
    <w:rsid w:val="006573E9"/>
    <w:rsid w:val="00657CC2"/>
    <w:rsid w:val="00663864"/>
    <w:rsid w:val="0066637B"/>
    <w:rsid w:val="0066705D"/>
    <w:rsid w:val="00670C07"/>
    <w:rsid w:val="00670D29"/>
    <w:rsid w:val="00672F24"/>
    <w:rsid w:val="00673328"/>
    <w:rsid w:val="0067785B"/>
    <w:rsid w:val="00680196"/>
    <w:rsid w:val="00681BC1"/>
    <w:rsid w:val="006838BE"/>
    <w:rsid w:val="00692A0E"/>
    <w:rsid w:val="00694C68"/>
    <w:rsid w:val="006A2B9B"/>
    <w:rsid w:val="006A49E2"/>
    <w:rsid w:val="006B00A8"/>
    <w:rsid w:val="006B03C7"/>
    <w:rsid w:val="006B0F9E"/>
    <w:rsid w:val="006B1FE7"/>
    <w:rsid w:val="006B5370"/>
    <w:rsid w:val="006C0AA4"/>
    <w:rsid w:val="006C4A6A"/>
    <w:rsid w:val="006D3565"/>
    <w:rsid w:val="006D3D98"/>
    <w:rsid w:val="006D75EB"/>
    <w:rsid w:val="006E3C41"/>
    <w:rsid w:val="006E72A4"/>
    <w:rsid w:val="006E77DD"/>
    <w:rsid w:val="006E7920"/>
    <w:rsid w:val="006F0AF4"/>
    <w:rsid w:val="006F79A6"/>
    <w:rsid w:val="00700F4B"/>
    <w:rsid w:val="00704EA3"/>
    <w:rsid w:val="007060EC"/>
    <w:rsid w:val="0071021A"/>
    <w:rsid w:val="00710A7E"/>
    <w:rsid w:val="007139B9"/>
    <w:rsid w:val="00714F81"/>
    <w:rsid w:val="007168DC"/>
    <w:rsid w:val="00717EA0"/>
    <w:rsid w:val="0072046B"/>
    <w:rsid w:val="00720615"/>
    <w:rsid w:val="007235DA"/>
    <w:rsid w:val="00730D1F"/>
    <w:rsid w:val="007325AB"/>
    <w:rsid w:val="00733E22"/>
    <w:rsid w:val="007347F2"/>
    <w:rsid w:val="00742A44"/>
    <w:rsid w:val="007516CF"/>
    <w:rsid w:val="007542C6"/>
    <w:rsid w:val="0075444D"/>
    <w:rsid w:val="00764CB9"/>
    <w:rsid w:val="007651FC"/>
    <w:rsid w:val="0076560D"/>
    <w:rsid w:val="00765AA8"/>
    <w:rsid w:val="00772421"/>
    <w:rsid w:val="00776A5E"/>
    <w:rsid w:val="00786DD6"/>
    <w:rsid w:val="0079173A"/>
    <w:rsid w:val="007932A8"/>
    <w:rsid w:val="0079582C"/>
    <w:rsid w:val="0079784C"/>
    <w:rsid w:val="007A05F1"/>
    <w:rsid w:val="007A13E7"/>
    <w:rsid w:val="007A2301"/>
    <w:rsid w:val="007A508F"/>
    <w:rsid w:val="007A604A"/>
    <w:rsid w:val="007B1D11"/>
    <w:rsid w:val="007B34AE"/>
    <w:rsid w:val="007B44D0"/>
    <w:rsid w:val="007B4A9C"/>
    <w:rsid w:val="007B55B7"/>
    <w:rsid w:val="007B7287"/>
    <w:rsid w:val="007C2F9B"/>
    <w:rsid w:val="007C410F"/>
    <w:rsid w:val="007C6888"/>
    <w:rsid w:val="007D11FC"/>
    <w:rsid w:val="007D1988"/>
    <w:rsid w:val="007D4CEC"/>
    <w:rsid w:val="007D6E9A"/>
    <w:rsid w:val="007E0EC3"/>
    <w:rsid w:val="007E57C4"/>
    <w:rsid w:val="007F092B"/>
    <w:rsid w:val="007F1239"/>
    <w:rsid w:val="007F13E6"/>
    <w:rsid w:val="007F149B"/>
    <w:rsid w:val="007F3979"/>
    <w:rsid w:val="007F4D46"/>
    <w:rsid w:val="008043B4"/>
    <w:rsid w:val="008059CC"/>
    <w:rsid w:val="00806176"/>
    <w:rsid w:val="00806660"/>
    <w:rsid w:val="00806697"/>
    <w:rsid w:val="00810D53"/>
    <w:rsid w:val="00811DAC"/>
    <w:rsid w:val="00812286"/>
    <w:rsid w:val="0081357D"/>
    <w:rsid w:val="00814453"/>
    <w:rsid w:val="0081687D"/>
    <w:rsid w:val="00817AB1"/>
    <w:rsid w:val="00820BF5"/>
    <w:rsid w:val="00823529"/>
    <w:rsid w:val="00825002"/>
    <w:rsid w:val="00830F2E"/>
    <w:rsid w:val="00836935"/>
    <w:rsid w:val="00851A7B"/>
    <w:rsid w:val="008520E2"/>
    <w:rsid w:val="008546A7"/>
    <w:rsid w:val="00855D30"/>
    <w:rsid w:val="0085702F"/>
    <w:rsid w:val="00857F54"/>
    <w:rsid w:val="00861059"/>
    <w:rsid w:val="00863EC2"/>
    <w:rsid w:val="00864C77"/>
    <w:rsid w:val="0087417A"/>
    <w:rsid w:val="00875B22"/>
    <w:rsid w:val="00882580"/>
    <w:rsid w:val="00884C13"/>
    <w:rsid w:val="00885043"/>
    <w:rsid w:val="00886D08"/>
    <w:rsid w:val="0089054E"/>
    <w:rsid w:val="0089374A"/>
    <w:rsid w:val="00897593"/>
    <w:rsid w:val="00897E2F"/>
    <w:rsid w:val="008A0814"/>
    <w:rsid w:val="008A0B66"/>
    <w:rsid w:val="008A0D7D"/>
    <w:rsid w:val="008A0EFE"/>
    <w:rsid w:val="008A4348"/>
    <w:rsid w:val="008A4AC1"/>
    <w:rsid w:val="008A6E4D"/>
    <w:rsid w:val="008A793D"/>
    <w:rsid w:val="008B0017"/>
    <w:rsid w:val="008B67C0"/>
    <w:rsid w:val="008B70B2"/>
    <w:rsid w:val="008C0E18"/>
    <w:rsid w:val="008C27FC"/>
    <w:rsid w:val="008C3328"/>
    <w:rsid w:val="008C45D9"/>
    <w:rsid w:val="008C517F"/>
    <w:rsid w:val="008C68CC"/>
    <w:rsid w:val="008D3017"/>
    <w:rsid w:val="008D3556"/>
    <w:rsid w:val="008E3157"/>
    <w:rsid w:val="008E3652"/>
    <w:rsid w:val="008E79E2"/>
    <w:rsid w:val="008F4EEA"/>
    <w:rsid w:val="008F56CF"/>
    <w:rsid w:val="008F6D58"/>
    <w:rsid w:val="00901BC6"/>
    <w:rsid w:val="009036B9"/>
    <w:rsid w:val="009037B9"/>
    <w:rsid w:val="00907804"/>
    <w:rsid w:val="00907F5D"/>
    <w:rsid w:val="00914DAC"/>
    <w:rsid w:val="00915012"/>
    <w:rsid w:val="00915DDB"/>
    <w:rsid w:val="00920882"/>
    <w:rsid w:val="009279F5"/>
    <w:rsid w:val="00927A9F"/>
    <w:rsid w:val="00930946"/>
    <w:rsid w:val="00931406"/>
    <w:rsid w:val="00931ADC"/>
    <w:rsid w:val="0093492C"/>
    <w:rsid w:val="00935557"/>
    <w:rsid w:val="0093708D"/>
    <w:rsid w:val="00937214"/>
    <w:rsid w:val="00951CEF"/>
    <w:rsid w:val="00954487"/>
    <w:rsid w:val="009550C9"/>
    <w:rsid w:val="00957043"/>
    <w:rsid w:val="009632E1"/>
    <w:rsid w:val="00966BB7"/>
    <w:rsid w:val="009707CA"/>
    <w:rsid w:val="009711C5"/>
    <w:rsid w:val="00975301"/>
    <w:rsid w:val="0098098D"/>
    <w:rsid w:val="00994CB8"/>
    <w:rsid w:val="009A05FB"/>
    <w:rsid w:val="009A130C"/>
    <w:rsid w:val="009A1343"/>
    <w:rsid w:val="009A5962"/>
    <w:rsid w:val="009A678C"/>
    <w:rsid w:val="009A7D45"/>
    <w:rsid w:val="009B20BA"/>
    <w:rsid w:val="009B62EA"/>
    <w:rsid w:val="009C3049"/>
    <w:rsid w:val="009C4223"/>
    <w:rsid w:val="009C573E"/>
    <w:rsid w:val="009D0A55"/>
    <w:rsid w:val="009D5D4C"/>
    <w:rsid w:val="009F12D8"/>
    <w:rsid w:val="009F23C4"/>
    <w:rsid w:val="009F366B"/>
    <w:rsid w:val="009F3E7F"/>
    <w:rsid w:val="009F3EE7"/>
    <w:rsid w:val="009F5B38"/>
    <w:rsid w:val="009F624E"/>
    <w:rsid w:val="009F6FEF"/>
    <w:rsid w:val="009F78EF"/>
    <w:rsid w:val="00A01452"/>
    <w:rsid w:val="00A0339D"/>
    <w:rsid w:val="00A044AE"/>
    <w:rsid w:val="00A055E1"/>
    <w:rsid w:val="00A07367"/>
    <w:rsid w:val="00A07D5D"/>
    <w:rsid w:val="00A10FE3"/>
    <w:rsid w:val="00A124AC"/>
    <w:rsid w:val="00A16749"/>
    <w:rsid w:val="00A16D87"/>
    <w:rsid w:val="00A21F50"/>
    <w:rsid w:val="00A234CB"/>
    <w:rsid w:val="00A25ADC"/>
    <w:rsid w:val="00A27BC6"/>
    <w:rsid w:val="00A30021"/>
    <w:rsid w:val="00A32225"/>
    <w:rsid w:val="00A330BA"/>
    <w:rsid w:val="00A363B6"/>
    <w:rsid w:val="00A44536"/>
    <w:rsid w:val="00A4512A"/>
    <w:rsid w:val="00A46BF5"/>
    <w:rsid w:val="00A51419"/>
    <w:rsid w:val="00A530D4"/>
    <w:rsid w:val="00A55D2D"/>
    <w:rsid w:val="00A56160"/>
    <w:rsid w:val="00A57447"/>
    <w:rsid w:val="00A57FFE"/>
    <w:rsid w:val="00A6658B"/>
    <w:rsid w:val="00A75C91"/>
    <w:rsid w:val="00A7741C"/>
    <w:rsid w:val="00A8130E"/>
    <w:rsid w:val="00A81353"/>
    <w:rsid w:val="00A81B77"/>
    <w:rsid w:val="00A82230"/>
    <w:rsid w:val="00A82512"/>
    <w:rsid w:val="00A840B7"/>
    <w:rsid w:val="00A85CF9"/>
    <w:rsid w:val="00A87594"/>
    <w:rsid w:val="00A9067D"/>
    <w:rsid w:val="00AA12E4"/>
    <w:rsid w:val="00AA1650"/>
    <w:rsid w:val="00AA49DC"/>
    <w:rsid w:val="00AB16A0"/>
    <w:rsid w:val="00AB75AA"/>
    <w:rsid w:val="00AC6DF9"/>
    <w:rsid w:val="00AC7C83"/>
    <w:rsid w:val="00AC7F8A"/>
    <w:rsid w:val="00AD2835"/>
    <w:rsid w:val="00AD3D94"/>
    <w:rsid w:val="00AD4215"/>
    <w:rsid w:val="00AD6135"/>
    <w:rsid w:val="00AD6232"/>
    <w:rsid w:val="00AD6257"/>
    <w:rsid w:val="00AD6925"/>
    <w:rsid w:val="00AE04B4"/>
    <w:rsid w:val="00AE41E6"/>
    <w:rsid w:val="00AF08DA"/>
    <w:rsid w:val="00AF7427"/>
    <w:rsid w:val="00AF7BC4"/>
    <w:rsid w:val="00B01B8A"/>
    <w:rsid w:val="00B02C2E"/>
    <w:rsid w:val="00B0692C"/>
    <w:rsid w:val="00B078A5"/>
    <w:rsid w:val="00B11341"/>
    <w:rsid w:val="00B146E2"/>
    <w:rsid w:val="00B16510"/>
    <w:rsid w:val="00B16CA3"/>
    <w:rsid w:val="00B17922"/>
    <w:rsid w:val="00B202FF"/>
    <w:rsid w:val="00B218CC"/>
    <w:rsid w:val="00B220A3"/>
    <w:rsid w:val="00B2483B"/>
    <w:rsid w:val="00B2512A"/>
    <w:rsid w:val="00B26D48"/>
    <w:rsid w:val="00B275E6"/>
    <w:rsid w:val="00B27ACE"/>
    <w:rsid w:val="00B32D71"/>
    <w:rsid w:val="00B4123B"/>
    <w:rsid w:val="00B44853"/>
    <w:rsid w:val="00B4579C"/>
    <w:rsid w:val="00B46594"/>
    <w:rsid w:val="00B528E3"/>
    <w:rsid w:val="00B54E5A"/>
    <w:rsid w:val="00B555E6"/>
    <w:rsid w:val="00B801F3"/>
    <w:rsid w:val="00B803CE"/>
    <w:rsid w:val="00B8048F"/>
    <w:rsid w:val="00B83454"/>
    <w:rsid w:val="00B849EE"/>
    <w:rsid w:val="00B84D02"/>
    <w:rsid w:val="00B85CCE"/>
    <w:rsid w:val="00B86E68"/>
    <w:rsid w:val="00B951BF"/>
    <w:rsid w:val="00B9544F"/>
    <w:rsid w:val="00B96A94"/>
    <w:rsid w:val="00B96CFE"/>
    <w:rsid w:val="00BA03B3"/>
    <w:rsid w:val="00BA2940"/>
    <w:rsid w:val="00BA2F86"/>
    <w:rsid w:val="00BA36D2"/>
    <w:rsid w:val="00BA75F8"/>
    <w:rsid w:val="00BA7C84"/>
    <w:rsid w:val="00BB0B8C"/>
    <w:rsid w:val="00BB3519"/>
    <w:rsid w:val="00BB3E16"/>
    <w:rsid w:val="00BC3E47"/>
    <w:rsid w:val="00BC5F50"/>
    <w:rsid w:val="00BD0F69"/>
    <w:rsid w:val="00BD3F4D"/>
    <w:rsid w:val="00BD71CE"/>
    <w:rsid w:val="00BD7CBA"/>
    <w:rsid w:val="00BE020E"/>
    <w:rsid w:val="00BE20B2"/>
    <w:rsid w:val="00BE5EFD"/>
    <w:rsid w:val="00BF3768"/>
    <w:rsid w:val="00BF7EDE"/>
    <w:rsid w:val="00C0073A"/>
    <w:rsid w:val="00C0357E"/>
    <w:rsid w:val="00C10DC6"/>
    <w:rsid w:val="00C12A1D"/>
    <w:rsid w:val="00C13568"/>
    <w:rsid w:val="00C16E53"/>
    <w:rsid w:val="00C213C4"/>
    <w:rsid w:val="00C215E4"/>
    <w:rsid w:val="00C24346"/>
    <w:rsid w:val="00C262A2"/>
    <w:rsid w:val="00C27A77"/>
    <w:rsid w:val="00C321AE"/>
    <w:rsid w:val="00C33B8A"/>
    <w:rsid w:val="00C3426B"/>
    <w:rsid w:val="00C35527"/>
    <w:rsid w:val="00C431B4"/>
    <w:rsid w:val="00C50767"/>
    <w:rsid w:val="00C50DFC"/>
    <w:rsid w:val="00C50E03"/>
    <w:rsid w:val="00C51D4D"/>
    <w:rsid w:val="00C53075"/>
    <w:rsid w:val="00C57243"/>
    <w:rsid w:val="00C63154"/>
    <w:rsid w:val="00C63BEC"/>
    <w:rsid w:val="00C654FD"/>
    <w:rsid w:val="00C656E6"/>
    <w:rsid w:val="00C66C16"/>
    <w:rsid w:val="00C71B08"/>
    <w:rsid w:val="00C725D1"/>
    <w:rsid w:val="00C82590"/>
    <w:rsid w:val="00C84EC1"/>
    <w:rsid w:val="00C8597B"/>
    <w:rsid w:val="00C85D39"/>
    <w:rsid w:val="00C86C59"/>
    <w:rsid w:val="00C913CB"/>
    <w:rsid w:val="00C91C5A"/>
    <w:rsid w:val="00C91EF9"/>
    <w:rsid w:val="00C94A1F"/>
    <w:rsid w:val="00C95D68"/>
    <w:rsid w:val="00C96AA6"/>
    <w:rsid w:val="00CA0871"/>
    <w:rsid w:val="00CA62EF"/>
    <w:rsid w:val="00CB3FA8"/>
    <w:rsid w:val="00CC0A31"/>
    <w:rsid w:val="00CC30F0"/>
    <w:rsid w:val="00CC4C59"/>
    <w:rsid w:val="00CC756E"/>
    <w:rsid w:val="00CD3596"/>
    <w:rsid w:val="00CD5F42"/>
    <w:rsid w:val="00CD6D73"/>
    <w:rsid w:val="00CD6D9A"/>
    <w:rsid w:val="00CE48AD"/>
    <w:rsid w:val="00CE4B46"/>
    <w:rsid w:val="00CF3A4C"/>
    <w:rsid w:val="00CF6649"/>
    <w:rsid w:val="00D00E92"/>
    <w:rsid w:val="00D02A9A"/>
    <w:rsid w:val="00D03720"/>
    <w:rsid w:val="00D0402D"/>
    <w:rsid w:val="00D055EC"/>
    <w:rsid w:val="00D06246"/>
    <w:rsid w:val="00D0654D"/>
    <w:rsid w:val="00D06751"/>
    <w:rsid w:val="00D1066D"/>
    <w:rsid w:val="00D1094D"/>
    <w:rsid w:val="00D11B13"/>
    <w:rsid w:val="00D128AC"/>
    <w:rsid w:val="00D14657"/>
    <w:rsid w:val="00D24540"/>
    <w:rsid w:val="00D27D59"/>
    <w:rsid w:val="00D30D6B"/>
    <w:rsid w:val="00D37ACE"/>
    <w:rsid w:val="00D4060F"/>
    <w:rsid w:val="00D40E43"/>
    <w:rsid w:val="00D44728"/>
    <w:rsid w:val="00D50B60"/>
    <w:rsid w:val="00D543AD"/>
    <w:rsid w:val="00D548EB"/>
    <w:rsid w:val="00D55846"/>
    <w:rsid w:val="00D562FF"/>
    <w:rsid w:val="00D565C6"/>
    <w:rsid w:val="00D5717B"/>
    <w:rsid w:val="00D63B6F"/>
    <w:rsid w:val="00D70324"/>
    <w:rsid w:val="00D76166"/>
    <w:rsid w:val="00D77391"/>
    <w:rsid w:val="00D8560F"/>
    <w:rsid w:val="00D866BC"/>
    <w:rsid w:val="00DA2474"/>
    <w:rsid w:val="00DA2F9F"/>
    <w:rsid w:val="00DA31EE"/>
    <w:rsid w:val="00DA44D6"/>
    <w:rsid w:val="00DB34AA"/>
    <w:rsid w:val="00DB4649"/>
    <w:rsid w:val="00DB4BBC"/>
    <w:rsid w:val="00DB6432"/>
    <w:rsid w:val="00DB71B9"/>
    <w:rsid w:val="00DB7FED"/>
    <w:rsid w:val="00DC1457"/>
    <w:rsid w:val="00DC1937"/>
    <w:rsid w:val="00DC1CA8"/>
    <w:rsid w:val="00DC24B0"/>
    <w:rsid w:val="00DC59DC"/>
    <w:rsid w:val="00DC6435"/>
    <w:rsid w:val="00DE25AD"/>
    <w:rsid w:val="00DE287E"/>
    <w:rsid w:val="00DE4FA9"/>
    <w:rsid w:val="00DE52A5"/>
    <w:rsid w:val="00DE553E"/>
    <w:rsid w:val="00DE5C4D"/>
    <w:rsid w:val="00DF56C9"/>
    <w:rsid w:val="00DF5774"/>
    <w:rsid w:val="00E0575A"/>
    <w:rsid w:val="00E11756"/>
    <w:rsid w:val="00E125DF"/>
    <w:rsid w:val="00E165E4"/>
    <w:rsid w:val="00E17D0D"/>
    <w:rsid w:val="00E30318"/>
    <w:rsid w:val="00E32708"/>
    <w:rsid w:val="00E3473E"/>
    <w:rsid w:val="00E43184"/>
    <w:rsid w:val="00E460D4"/>
    <w:rsid w:val="00E4615D"/>
    <w:rsid w:val="00E479C0"/>
    <w:rsid w:val="00E50A44"/>
    <w:rsid w:val="00E54B7E"/>
    <w:rsid w:val="00E55560"/>
    <w:rsid w:val="00E55A88"/>
    <w:rsid w:val="00E5799E"/>
    <w:rsid w:val="00E63C9A"/>
    <w:rsid w:val="00E6543D"/>
    <w:rsid w:val="00E65C3E"/>
    <w:rsid w:val="00E6707A"/>
    <w:rsid w:val="00E70327"/>
    <w:rsid w:val="00E71EE5"/>
    <w:rsid w:val="00E723E0"/>
    <w:rsid w:val="00E7315B"/>
    <w:rsid w:val="00E74323"/>
    <w:rsid w:val="00E77791"/>
    <w:rsid w:val="00E812F9"/>
    <w:rsid w:val="00E955F0"/>
    <w:rsid w:val="00EA5418"/>
    <w:rsid w:val="00EA7603"/>
    <w:rsid w:val="00EB297B"/>
    <w:rsid w:val="00EB54DC"/>
    <w:rsid w:val="00EB6F6B"/>
    <w:rsid w:val="00EC1567"/>
    <w:rsid w:val="00EC1EDE"/>
    <w:rsid w:val="00EC254C"/>
    <w:rsid w:val="00EC33D7"/>
    <w:rsid w:val="00EC74DC"/>
    <w:rsid w:val="00ED69A7"/>
    <w:rsid w:val="00EE05BC"/>
    <w:rsid w:val="00EE46FB"/>
    <w:rsid w:val="00F02E61"/>
    <w:rsid w:val="00F03204"/>
    <w:rsid w:val="00F07427"/>
    <w:rsid w:val="00F12529"/>
    <w:rsid w:val="00F17C0D"/>
    <w:rsid w:val="00F238D5"/>
    <w:rsid w:val="00F2754B"/>
    <w:rsid w:val="00F3345C"/>
    <w:rsid w:val="00F335B7"/>
    <w:rsid w:val="00F35D1D"/>
    <w:rsid w:val="00F37AA2"/>
    <w:rsid w:val="00F42842"/>
    <w:rsid w:val="00F43BC1"/>
    <w:rsid w:val="00F479CD"/>
    <w:rsid w:val="00F50F83"/>
    <w:rsid w:val="00F53897"/>
    <w:rsid w:val="00F559B3"/>
    <w:rsid w:val="00F5728B"/>
    <w:rsid w:val="00F6519D"/>
    <w:rsid w:val="00F651FA"/>
    <w:rsid w:val="00F7364C"/>
    <w:rsid w:val="00F75314"/>
    <w:rsid w:val="00F755D0"/>
    <w:rsid w:val="00F75A0B"/>
    <w:rsid w:val="00F762CB"/>
    <w:rsid w:val="00F81A16"/>
    <w:rsid w:val="00F82B20"/>
    <w:rsid w:val="00F83709"/>
    <w:rsid w:val="00F87880"/>
    <w:rsid w:val="00F942CE"/>
    <w:rsid w:val="00F9626E"/>
    <w:rsid w:val="00FB1010"/>
    <w:rsid w:val="00FB1F56"/>
    <w:rsid w:val="00FB25B6"/>
    <w:rsid w:val="00FB6810"/>
    <w:rsid w:val="00FC11A3"/>
    <w:rsid w:val="00FD2DEA"/>
    <w:rsid w:val="00FD4B29"/>
    <w:rsid w:val="00FD5A63"/>
    <w:rsid w:val="00FD6502"/>
    <w:rsid w:val="00FD70FE"/>
    <w:rsid w:val="00FE3440"/>
    <w:rsid w:val="00FE4EF4"/>
    <w:rsid w:val="00FE662E"/>
    <w:rsid w:val="00FE67F4"/>
    <w:rsid w:val="00FE6B9A"/>
    <w:rsid w:val="00FF5624"/>
    <w:rsid w:val="00FF62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0EF8A7"/>
  <w15:docId w15:val="{CEB11156-79B6-4254-9373-3BF7CAE4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2">
    <w:name w:val="Grid Table 2"/>
    <w:basedOn w:val="Tablanormal"/>
    <w:uiPriority w:val="47"/>
    <w:rsid w:val="00AC7F8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AC7F8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7concolores-nfasis3">
    <w:name w:val="Grid Table 7 Colorful Accent 3"/>
    <w:basedOn w:val="Tablanormal"/>
    <w:uiPriority w:val="52"/>
    <w:rsid w:val="00AC7F8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1clara">
    <w:name w:val="Grid Table 1 Light"/>
    <w:basedOn w:val="Tablanormal"/>
    <w:uiPriority w:val="46"/>
    <w:rsid w:val="00AC7F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AC7F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7concolores-nfasis2">
    <w:name w:val="Grid Table 7 Colorful Accent 2"/>
    <w:basedOn w:val="Tablanormal"/>
    <w:uiPriority w:val="52"/>
    <w:rsid w:val="00AD625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767">
      <w:bodyDiv w:val="1"/>
      <w:marLeft w:val="0"/>
      <w:marRight w:val="0"/>
      <w:marTop w:val="0"/>
      <w:marBottom w:val="0"/>
      <w:divBdr>
        <w:top w:val="none" w:sz="0" w:space="0" w:color="auto"/>
        <w:left w:val="none" w:sz="0" w:space="0" w:color="auto"/>
        <w:bottom w:val="none" w:sz="0" w:space="0" w:color="auto"/>
        <w:right w:val="none" w:sz="0" w:space="0" w:color="auto"/>
      </w:divBdr>
    </w:div>
    <w:div w:id="66146764">
      <w:bodyDiv w:val="1"/>
      <w:marLeft w:val="0"/>
      <w:marRight w:val="0"/>
      <w:marTop w:val="0"/>
      <w:marBottom w:val="0"/>
      <w:divBdr>
        <w:top w:val="none" w:sz="0" w:space="0" w:color="auto"/>
        <w:left w:val="none" w:sz="0" w:space="0" w:color="auto"/>
        <w:bottom w:val="none" w:sz="0" w:space="0" w:color="auto"/>
        <w:right w:val="none" w:sz="0" w:space="0" w:color="auto"/>
      </w:divBdr>
    </w:div>
    <w:div w:id="69931084">
      <w:bodyDiv w:val="1"/>
      <w:marLeft w:val="0"/>
      <w:marRight w:val="0"/>
      <w:marTop w:val="0"/>
      <w:marBottom w:val="0"/>
      <w:divBdr>
        <w:top w:val="none" w:sz="0" w:space="0" w:color="auto"/>
        <w:left w:val="none" w:sz="0" w:space="0" w:color="auto"/>
        <w:bottom w:val="none" w:sz="0" w:space="0" w:color="auto"/>
        <w:right w:val="none" w:sz="0" w:space="0" w:color="auto"/>
      </w:divBdr>
    </w:div>
    <w:div w:id="71584216">
      <w:bodyDiv w:val="1"/>
      <w:marLeft w:val="0"/>
      <w:marRight w:val="0"/>
      <w:marTop w:val="0"/>
      <w:marBottom w:val="0"/>
      <w:divBdr>
        <w:top w:val="none" w:sz="0" w:space="0" w:color="auto"/>
        <w:left w:val="none" w:sz="0" w:space="0" w:color="auto"/>
        <w:bottom w:val="none" w:sz="0" w:space="0" w:color="auto"/>
        <w:right w:val="none" w:sz="0" w:space="0" w:color="auto"/>
      </w:divBdr>
    </w:div>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203755169">
      <w:bodyDiv w:val="1"/>
      <w:marLeft w:val="0"/>
      <w:marRight w:val="0"/>
      <w:marTop w:val="0"/>
      <w:marBottom w:val="0"/>
      <w:divBdr>
        <w:top w:val="none" w:sz="0" w:space="0" w:color="auto"/>
        <w:left w:val="none" w:sz="0" w:space="0" w:color="auto"/>
        <w:bottom w:val="none" w:sz="0" w:space="0" w:color="auto"/>
        <w:right w:val="none" w:sz="0" w:space="0" w:color="auto"/>
      </w:divBdr>
    </w:div>
    <w:div w:id="210266851">
      <w:bodyDiv w:val="1"/>
      <w:marLeft w:val="0"/>
      <w:marRight w:val="0"/>
      <w:marTop w:val="0"/>
      <w:marBottom w:val="0"/>
      <w:divBdr>
        <w:top w:val="none" w:sz="0" w:space="0" w:color="auto"/>
        <w:left w:val="none" w:sz="0" w:space="0" w:color="auto"/>
        <w:bottom w:val="none" w:sz="0" w:space="0" w:color="auto"/>
        <w:right w:val="none" w:sz="0" w:space="0" w:color="auto"/>
      </w:divBdr>
    </w:div>
    <w:div w:id="210965327">
      <w:bodyDiv w:val="1"/>
      <w:marLeft w:val="0"/>
      <w:marRight w:val="0"/>
      <w:marTop w:val="0"/>
      <w:marBottom w:val="0"/>
      <w:divBdr>
        <w:top w:val="none" w:sz="0" w:space="0" w:color="auto"/>
        <w:left w:val="none" w:sz="0" w:space="0" w:color="auto"/>
        <w:bottom w:val="none" w:sz="0" w:space="0" w:color="auto"/>
        <w:right w:val="none" w:sz="0" w:space="0" w:color="auto"/>
      </w:divBdr>
    </w:div>
    <w:div w:id="220747945">
      <w:bodyDiv w:val="1"/>
      <w:marLeft w:val="0"/>
      <w:marRight w:val="0"/>
      <w:marTop w:val="0"/>
      <w:marBottom w:val="0"/>
      <w:divBdr>
        <w:top w:val="none" w:sz="0" w:space="0" w:color="auto"/>
        <w:left w:val="none" w:sz="0" w:space="0" w:color="auto"/>
        <w:bottom w:val="none" w:sz="0" w:space="0" w:color="auto"/>
        <w:right w:val="none" w:sz="0" w:space="0" w:color="auto"/>
      </w:divBdr>
    </w:div>
    <w:div w:id="302199351">
      <w:bodyDiv w:val="1"/>
      <w:marLeft w:val="0"/>
      <w:marRight w:val="0"/>
      <w:marTop w:val="0"/>
      <w:marBottom w:val="0"/>
      <w:divBdr>
        <w:top w:val="none" w:sz="0" w:space="0" w:color="auto"/>
        <w:left w:val="none" w:sz="0" w:space="0" w:color="auto"/>
        <w:bottom w:val="none" w:sz="0" w:space="0" w:color="auto"/>
        <w:right w:val="none" w:sz="0" w:space="0" w:color="auto"/>
      </w:divBdr>
    </w:div>
    <w:div w:id="361900705">
      <w:bodyDiv w:val="1"/>
      <w:marLeft w:val="0"/>
      <w:marRight w:val="0"/>
      <w:marTop w:val="0"/>
      <w:marBottom w:val="0"/>
      <w:divBdr>
        <w:top w:val="none" w:sz="0" w:space="0" w:color="auto"/>
        <w:left w:val="none" w:sz="0" w:space="0" w:color="auto"/>
        <w:bottom w:val="none" w:sz="0" w:space="0" w:color="auto"/>
        <w:right w:val="none" w:sz="0" w:space="0" w:color="auto"/>
      </w:divBdr>
    </w:div>
    <w:div w:id="366763803">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8282095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36183154">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721516400">
      <w:bodyDiv w:val="1"/>
      <w:marLeft w:val="0"/>
      <w:marRight w:val="0"/>
      <w:marTop w:val="0"/>
      <w:marBottom w:val="0"/>
      <w:divBdr>
        <w:top w:val="none" w:sz="0" w:space="0" w:color="auto"/>
        <w:left w:val="none" w:sz="0" w:space="0" w:color="auto"/>
        <w:bottom w:val="none" w:sz="0" w:space="0" w:color="auto"/>
        <w:right w:val="none" w:sz="0" w:space="0" w:color="auto"/>
      </w:divBdr>
    </w:div>
    <w:div w:id="775901139">
      <w:bodyDiv w:val="1"/>
      <w:marLeft w:val="0"/>
      <w:marRight w:val="0"/>
      <w:marTop w:val="0"/>
      <w:marBottom w:val="0"/>
      <w:divBdr>
        <w:top w:val="none" w:sz="0" w:space="0" w:color="auto"/>
        <w:left w:val="none" w:sz="0" w:space="0" w:color="auto"/>
        <w:bottom w:val="none" w:sz="0" w:space="0" w:color="auto"/>
        <w:right w:val="none" w:sz="0" w:space="0" w:color="auto"/>
      </w:divBdr>
    </w:div>
    <w:div w:id="78670568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855071311">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464052">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31861902">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15112158">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60326943">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093893880">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395660689">
      <w:bodyDiv w:val="1"/>
      <w:marLeft w:val="0"/>
      <w:marRight w:val="0"/>
      <w:marTop w:val="0"/>
      <w:marBottom w:val="0"/>
      <w:divBdr>
        <w:top w:val="none" w:sz="0" w:space="0" w:color="auto"/>
        <w:left w:val="none" w:sz="0" w:space="0" w:color="auto"/>
        <w:bottom w:val="none" w:sz="0" w:space="0" w:color="auto"/>
        <w:right w:val="none" w:sz="0" w:space="0" w:color="auto"/>
      </w:divBdr>
    </w:div>
    <w:div w:id="1397434280">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477721025">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75311687">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4412283">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844053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982409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662126149">
      <w:bodyDiv w:val="1"/>
      <w:marLeft w:val="0"/>
      <w:marRight w:val="0"/>
      <w:marTop w:val="0"/>
      <w:marBottom w:val="0"/>
      <w:divBdr>
        <w:top w:val="none" w:sz="0" w:space="0" w:color="auto"/>
        <w:left w:val="none" w:sz="0" w:space="0" w:color="auto"/>
        <w:bottom w:val="none" w:sz="0" w:space="0" w:color="auto"/>
        <w:right w:val="none" w:sz="0" w:space="0" w:color="auto"/>
      </w:divBdr>
    </w:div>
    <w:div w:id="1663701949">
      <w:bodyDiv w:val="1"/>
      <w:marLeft w:val="0"/>
      <w:marRight w:val="0"/>
      <w:marTop w:val="0"/>
      <w:marBottom w:val="0"/>
      <w:divBdr>
        <w:top w:val="none" w:sz="0" w:space="0" w:color="auto"/>
        <w:left w:val="none" w:sz="0" w:space="0" w:color="auto"/>
        <w:bottom w:val="none" w:sz="0" w:space="0" w:color="auto"/>
        <w:right w:val="none" w:sz="0" w:space="0" w:color="auto"/>
      </w:divBdr>
    </w:div>
    <w:div w:id="1688753193">
      <w:bodyDiv w:val="1"/>
      <w:marLeft w:val="0"/>
      <w:marRight w:val="0"/>
      <w:marTop w:val="0"/>
      <w:marBottom w:val="0"/>
      <w:divBdr>
        <w:top w:val="none" w:sz="0" w:space="0" w:color="auto"/>
        <w:left w:val="none" w:sz="0" w:space="0" w:color="auto"/>
        <w:bottom w:val="none" w:sz="0" w:space="0" w:color="auto"/>
        <w:right w:val="none" w:sz="0" w:space="0" w:color="auto"/>
      </w:divBdr>
    </w:div>
    <w:div w:id="1689864971">
      <w:bodyDiv w:val="1"/>
      <w:marLeft w:val="0"/>
      <w:marRight w:val="0"/>
      <w:marTop w:val="0"/>
      <w:marBottom w:val="0"/>
      <w:divBdr>
        <w:top w:val="none" w:sz="0" w:space="0" w:color="auto"/>
        <w:left w:val="none" w:sz="0" w:space="0" w:color="auto"/>
        <w:bottom w:val="none" w:sz="0" w:space="0" w:color="auto"/>
        <w:right w:val="none" w:sz="0" w:space="0" w:color="auto"/>
      </w:divBdr>
    </w:div>
    <w:div w:id="1756710707">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7189627">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17213037">
      <w:bodyDiv w:val="1"/>
      <w:marLeft w:val="0"/>
      <w:marRight w:val="0"/>
      <w:marTop w:val="0"/>
      <w:marBottom w:val="0"/>
      <w:divBdr>
        <w:top w:val="none" w:sz="0" w:space="0" w:color="auto"/>
        <w:left w:val="none" w:sz="0" w:space="0" w:color="auto"/>
        <w:bottom w:val="none" w:sz="0" w:space="0" w:color="auto"/>
        <w:right w:val="none" w:sz="0" w:space="0" w:color="auto"/>
      </w:divBdr>
    </w:div>
    <w:div w:id="1829251645">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029108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13999192">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33779026">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058123041">
      <w:bodyDiv w:val="1"/>
      <w:marLeft w:val="0"/>
      <w:marRight w:val="0"/>
      <w:marTop w:val="0"/>
      <w:marBottom w:val="0"/>
      <w:divBdr>
        <w:top w:val="none" w:sz="0" w:space="0" w:color="auto"/>
        <w:left w:val="none" w:sz="0" w:space="0" w:color="auto"/>
        <w:bottom w:val="none" w:sz="0" w:space="0" w:color="auto"/>
        <w:right w:val="none" w:sz="0" w:space="0" w:color="auto"/>
      </w:divBdr>
    </w:div>
    <w:div w:id="2064329356">
      <w:bodyDiv w:val="1"/>
      <w:marLeft w:val="0"/>
      <w:marRight w:val="0"/>
      <w:marTop w:val="0"/>
      <w:marBottom w:val="0"/>
      <w:divBdr>
        <w:top w:val="none" w:sz="0" w:space="0" w:color="auto"/>
        <w:left w:val="none" w:sz="0" w:space="0" w:color="auto"/>
        <w:bottom w:val="none" w:sz="0" w:space="0" w:color="auto"/>
        <w:right w:val="none" w:sz="0" w:space="0" w:color="auto"/>
      </w:divBdr>
    </w:div>
    <w:div w:id="2103794413">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oleObject" Target="embeddings/Microsoft_Excel_97-2003_Worksheet.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2DCFA-63C9-42C6-B4B6-EE628834E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22</Pages>
  <Words>3359</Words>
  <Characters>18479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Financieros</cp:lastModifiedBy>
  <cp:revision>59</cp:revision>
  <cp:lastPrinted>2021-10-07T19:27:00Z</cp:lastPrinted>
  <dcterms:created xsi:type="dcterms:W3CDTF">2020-04-20T18:52:00Z</dcterms:created>
  <dcterms:modified xsi:type="dcterms:W3CDTF">2021-10-07T19:28:00Z</dcterms:modified>
</cp:coreProperties>
</file>