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56" w:rsidRPr="00CF3A2F" w:rsidRDefault="008B6456" w:rsidP="00B76007">
      <w:pPr>
        <w:spacing w:before="80" w:after="0" w:line="360" w:lineRule="auto"/>
        <w:contextualSpacing/>
        <w:jc w:val="center"/>
        <w:rPr>
          <w:rFonts w:ascii="Arial Nova" w:hAnsi="Arial Nova" w:cs="Arial"/>
          <w:b/>
          <w:szCs w:val="18"/>
        </w:rPr>
      </w:pPr>
      <w:r w:rsidRPr="00CF3A2F">
        <w:rPr>
          <w:rFonts w:ascii="Arial Nova" w:hAnsi="Arial Nova" w:cs="Arial"/>
          <w:b/>
          <w:szCs w:val="18"/>
        </w:rPr>
        <w:t>INTRODUCCIÓN</w:t>
      </w:r>
    </w:p>
    <w:p w:rsidR="008B6456" w:rsidRPr="00CD064A" w:rsidRDefault="008B6456" w:rsidP="00B76007">
      <w:pPr>
        <w:pStyle w:val="Texto"/>
        <w:spacing w:before="80" w:after="0" w:line="360" w:lineRule="auto"/>
        <w:ind w:firstLine="0"/>
        <w:contextualSpacing/>
        <w:rPr>
          <w:rFonts w:ascii="Arial Nova" w:hAnsi="Arial Nova"/>
          <w:sz w:val="20"/>
        </w:rPr>
      </w:pPr>
      <w:r w:rsidRPr="00CD064A">
        <w:rPr>
          <w:rFonts w:ascii="Arial Nova" w:hAnsi="Arial Nova"/>
          <w:szCs w:val="18"/>
        </w:rPr>
        <w:t>En cumplimiento a la Ley General de Contabilidad Gubernamental en su artículo 53, que establece que la Cuenta Pública del Gobierno Federal y las de las entidades federativas deberá atender en su cobertura a lo establecido en su marco legal vigente</w:t>
      </w:r>
      <w:r w:rsidRPr="00CD064A">
        <w:rPr>
          <w:rFonts w:ascii="Arial Nova" w:hAnsi="Arial Nova"/>
          <w:sz w:val="20"/>
        </w:rPr>
        <w:t>:</w:t>
      </w:r>
    </w:p>
    <w:p w:rsidR="00B76007" w:rsidRDefault="008B6456" w:rsidP="00B76007">
      <w:pPr>
        <w:autoSpaceDE w:val="0"/>
        <w:autoSpaceDN w:val="0"/>
        <w:adjustRightInd w:val="0"/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  <w:lang w:val="es-ES"/>
        </w:rPr>
        <w:t xml:space="preserve">Se </w:t>
      </w:r>
      <w:r w:rsidRPr="00CD064A">
        <w:rPr>
          <w:rFonts w:ascii="Arial Nova" w:hAnsi="Arial Nova" w:cs="Arial"/>
          <w:sz w:val="18"/>
          <w:szCs w:val="18"/>
        </w:rPr>
        <w:t xml:space="preserve">presenta la </w:t>
      </w:r>
      <w:r w:rsidRPr="00CF3A2F">
        <w:rPr>
          <w:rFonts w:ascii="Arial Nova" w:hAnsi="Arial Nova" w:cs="Arial"/>
          <w:b/>
          <w:sz w:val="18"/>
          <w:szCs w:val="18"/>
        </w:rPr>
        <w:t>información contable, presupuestaria y programática consolidada de</w:t>
      </w:r>
      <w:r w:rsidR="00432391" w:rsidRPr="00CF3A2F">
        <w:rPr>
          <w:rFonts w:ascii="Arial Nova" w:hAnsi="Arial Nova" w:cs="Arial"/>
          <w:b/>
          <w:sz w:val="18"/>
          <w:szCs w:val="18"/>
        </w:rPr>
        <w:t>l Tribunal E</w:t>
      </w:r>
      <w:r w:rsidRPr="00CF3A2F">
        <w:rPr>
          <w:rFonts w:ascii="Arial Nova" w:hAnsi="Arial Nova" w:cs="Arial"/>
          <w:b/>
          <w:sz w:val="18"/>
          <w:szCs w:val="18"/>
        </w:rPr>
        <w:t>lectoral de Tlaxcala</w:t>
      </w:r>
      <w:r w:rsidR="00BE52E0">
        <w:rPr>
          <w:rFonts w:ascii="Arial Nova" w:hAnsi="Arial Nova" w:cs="Arial"/>
          <w:b/>
          <w:sz w:val="18"/>
          <w:szCs w:val="18"/>
        </w:rPr>
        <w:t xml:space="preserve">, </w:t>
      </w:r>
      <w:r w:rsidR="00BE52E0">
        <w:rPr>
          <w:rFonts w:ascii="Arial Nova" w:hAnsi="Arial Nova" w:cs="Arial"/>
          <w:sz w:val="18"/>
          <w:szCs w:val="18"/>
        </w:rPr>
        <w:t>d</w:t>
      </w:r>
      <w:r w:rsidRPr="00CD064A">
        <w:rPr>
          <w:rFonts w:ascii="Arial Nova" w:hAnsi="Arial Nova" w:cs="Arial"/>
          <w:sz w:val="18"/>
          <w:szCs w:val="18"/>
        </w:rPr>
        <w:t xml:space="preserve">e conformidad con el Acuerdo por el que se armoniza la estructura de las cuentas públicas y atendiendo a la Normatividad aplicable </w:t>
      </w:r>
      <w:r w:rsidR="00BE52E0">
        <w:rPr>
          <w:rFonts w:ascii="Arial Nova" w:hAnsi="Arial Nova" w:cs="Arial"/>
          <w:sz w:val="18"/>
          <w:szCs w:val="18"/>
        </w:rPr>
        <w:t>de acuerdo a lo siguiente</w:t>
      </w:r>
      <w:r w:rsidR="00B76007">
        <w:rPr>
          <w:rFonts w:ascii="Arial Nova" w:hAnsi="Arial Nova" w:cs="Arial"/>
          <w:sz w:val="18"/>
          <w:szCs w:val="18"/>
        </w:rPr>
        <w:t>:</w:t>
      </w:r>
    </w:p>
    <w:p w:rsidR="008B6456" w:rsidRPr="00B76007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 w:rsidRPr="00B76007">
        <w:rPr>
          <w:rFonts w:ascii="Arial Nova" w:hAnsi="Arial Nova" w:cs="Arial"/>
          <w:sz w:val="18"/>
          <w:szCs w:val="18"/>
        </w:rPr>
        <w:t>INFORMACIÓN CONTABLE</w:t>
      </w:r>
    </w:p>
    <w:p w:rsidR="008B6456" w:rsidRPr="00CD064A" w:rsidRDefault="00F90297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actividades</w:t>
      </w:r>
    </w:p>
    <w:p w:rsidR="009733E8" w:rsidRPr="00CD064A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situación financiera</w:t>
      </w:r>
    </w:p>
    <w:p w:rsidR="009733E8" w:rsidRPr="00CD064A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cambios en la situa</w:t>
      </w:r>
      <w:bookmarkStart w:id="0" w:name="_GoBack"/>
      <w:bookmarkEnd w:id="0"/>
      <w:r w:rsidRPr="00CD064A">
        <w:rPr>
          <w:rFonts w:ascii="Arial Nova" w:hAnsi="Arial Nova" w:cs="Arial"/>
          <w:sz w:val="18"/>
          <w:szCs w:val="18"/>
        </w:rPr>
        <w:t>ción financiera</w:t>
      </w:r>
    </w:p>
    <w:p w:rsidR="009733E8" w:rsidRPr="00CD064A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analítico del activo</w:t>
      </w:r>
    </w:p>
    <w:p w:rsidR="009733E8" w:rsidRPr="00CD064A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analítico de la deuda y otros pasivos</w:t>
      </w:r>
    </w:p>
    <w:p w:rsidR="008B6456" w:rsidRPr="00CD064A" w:rsidRDefault="008B6456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variación en la hacienda pública</w:t>
      </w:r>
    </w:p>
    <w:p w:rsidR="009733E8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flujos de efectivo</w:t>
      </w:r>
    </w:p>
    <w:p w:rsidR="00CF3A2F" w:rsidRPr="00CD064A" w:rsidRDefault="00CF3A2F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Notas a los estados financieros</w:t>
      </w:r>
    </w:p>
    <w:p w:rsidR="008B6456" w:rsidRDefault="008B6456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Informes sobre pasivos contingentes;</w:t>
      </w:r>
    </w:p>
    <w:p w:rsidR="00B76007" w:rsidRPr="00B76007" w:rsidRDefault="00B76007" w:rsidP="00B76007">
      <w:pPr>
        <w:autoSpaceDE w:val="0"/>
        <w:autoSpaceDN w:val="0"/>
        <w:adjustRightInd w:val="0"/>
        <w:spacing w:before="80" w:after="0" w:line="360" w:lineRule="auto"/>
        <w:ind w:left="360"/>
        <w:jc w:val="both"/>
        <w:rPr>
          <w:rFonts w:ascii="Arial Nova" w:hAnsi="Arial Nova" w:cs="Arial"/>
          <w:sz w:val="18"/>
          <w:szCs w:val="18"/>
        </w:rPr>
      </w:pPr>
    </w:p>
    <w:p w:rsidR="00B76007" w:rsidRPr="00B76007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INFORMACION PRESUPUESTAL</w:t>
      </w:r>
    </w:p>
    <w:p w:rsidR="008B6456" w:rsidRPr="00CD064A" w:rsidRDefault="001B3C7C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analítico de ingresos</w:t>
      </w:r>
    </w:p>
    <w:p w:rsidR="001B3C7C" w:rsidRPr="00CD064A" w:rsidRDefault="008B6456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analítico del ejercicio del presupuesto de egreso</w:t>
      </w:r>
      <w:r w:rsidR="00BE52E0">
        <w:rPr>
          <w:rFonts w:ascii="Arial Nova" w:hAnsi="Arial Nova" w:cs="Arial"/>
          <w:sz w:val="18"/>
          <w:szCs w:val="18"/>
        </w:rPr>
        <w:t>s</w:t>
      </w:r>
    </w:p>
    <w:p w:rsidR="008B6456" w:rsidRPr="00CD064A" w:rsidRDefault="008B6456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Administrativa</w:t>
      </w:r>
    </w:p>
    <w:p w:rsidR="00BE52E0" w:rsidRDefault="001B3C7C" w:rsidP="00780964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Arial Nova" w:hAnsi="Arial Nova" w:cs="Arial"/>
          <w:sz w:val="18"/>
          <w:szCs w:val="18"/>
        </w:rPr>
      </w:pPr>
      <w:r w:rsidRPr="00BE52E0">
        <w:rPr>
          <w:rFonts w:ascii="Arial Nova" w:hAnsi="Arial Nova" w:cs="Arial"/>
          <w:sz w:val="18"/>
          <w:szCs w:val="18"/>
        </w:rPr>
        <w:t>P</w:t>
      </w:r>
      <w:r w:rsidR="008B6456" w:rsidRPr="00BE52E0">
        <w:rPr>
          <w:rFonts w:ascii="Arial Nova" w:hAnsi="Arial Nova" w:cs="Arial"/>
          <w:sz w:val="18"/>
          <w:szCs w:val="18"/>
        </w:rPr>
        <w:t xml:space="preserve">or </w:t>
      </w:r>
      <w:r w:rsidR="00BE52E0" w:rsidRPr="00BE52E0">
        <w:rPr>
          <w:rFonts w:ascii="Arial Nova" w:hAnsi="Arial Nova" w:cs="Arial"/>
          <w:sz w:val="18"/>
          <w:szCs w:val="18"/>
        </w:rPr>
        <w:t>o</w:t>
      </w:r>
      <w:r w:rsidR="008B6456" w:rsidRPr="00BE52E0">
        <w:rPr>
          <w:rFonts w:ascii="Arial Nova" w:hAnsi="Arial Nova" w:cs="Arial"/>
          <w:sz w:val="18"/>
          <w:szCs w:val="18"/>
        </w:rPr>
        <w:t>bjeto</w:t>
      </w:r>
      <w:r w:rsidRPr="00BE52E0">
        <w:rPr>
          <w:rFonts w:ascii="Arial Nova" w:hAnsi="Arial Nova" w:cs="Arial"/>
          <w:sz w:val="18"/>
          <w:szCs w:val="18"/>
        </w:rPr>
        <w:t xml:space="preserve"> del </w:t>
      </w:r>
      <w:r w:rsidR="00BE52E0" w:rsidRPr="00BE52E0">
        <w:rPr>
          <w:rFonts w:ascii="Arial Nova" w:hAnsi="Arial Nova" w:cs="Arial"/>
          <w:sz w:val="18"/>
          <w:szCs w:val="18"/>
        </w:rPr>
        <w:t>g</w:t>
      </w:r>
      <w:r w:rsidR="008B6456" w:rsidRPr="00BE52E0">
        <w:rPr>
          <w:rFonts w:ascii="Arial Nova" w:hAnsi="Arial Nova" w:cs="Arial"/>
          <w:sz w:val="18"/>
          <w:szCs w:val="18"/>
        </w:rPr>
        <w:t>asto</w:t>
      </w:r>
    </w:p>
    <w:p w:rsidR="008B6456" w:rsidRPr="00CD064A" w:rsidRDefault="001B3C7C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Económica</w:t>
      </w:r>
    </w:p>
    <w:p w:rsidR="001B3C7C" w:rsidRPr="00CD064A" w:rsidRDefault="002D69DE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Funcional</w:t>
      </w:r>
    </w:p>
    <w:p w:rsidR="002D69DE" w:rsidRPr="00CD064A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Endeudamiento neto</w:t>
      </w:r>
    </w:p>
    <w:p w:rsidR="002D69DE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Intereses de la </w:t>
      </w:r>
      <w:r w:rsidR="00BE52E0">
        <w:rPr>
          <w:rFonts w:ascii="Arial Nova" w:hAnsi="Arial Nova" w:cs="Arial"/>
          <w:sz w:val="18"/>
          <w:szCs w:val="18"/>
        </w:rPr>
        <w:t>d</w:t>
      </w:r>
      <w:r w:rsidRPr="00CD064A">
        <w:rPr>
          <w:rFonts w:ascii="Arial Nova" w:hAnsi="Arial Nova" w:cs="Arial"/>
          <w:sz w:val="18"/>
          <w:szCs w:val="18"/>
        </w:rPr>
        <w:t>euda</w:t>
      </w:r>
    </w:p>
    <w:p w:rsidR="002D69DE" w:rsidRPr="00CD064A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Indicadores de </w:t>
      </w:r>
      <w:r w:rsidR="00EF7A5B">
        <w:rPr>
          <w:rFonts w:ascii="Arial Nova" w:hAnsi="Arial Nova" w:cs="Arial"/>
          <w:sz w:val="18"/>
          <w:szCs w:val="18"/>
        </w:rPr>
        <w:t>p</w:t>
      </w:r>
      <w:r w:rsidRPr="00CD064A">
        <w:rPr>
          <w:rFonts w:ascii="Arial Nova" w:hAnsi="Arial Nova" w:cs="Arial"/>
          <w:sz w:val="18"/>
          <w:szCs w:val="18"/>
        </w:rPr>
        <w:t xml:space="preserve">ostura </w:t>
      </w:r>
      <w:r w:rsidR="00EF7A5B">
        <w:rPr>
          <w:rFonts w:ascii="Arial Nova" w:hAnsi="Arial Nova" w:cs="Arial"/>
          <w:sz w:val="18"/>
          <w:szCs w:val="18"/>
        </w:rPr>
        <w:t>f</w:t>
      </w:r>
      <w:r w:rsidRPr="00CD064A">
        <w:rPr>
          <w:rFonts w:ascii="Arial Nova" w:hAnsi="Arial Nova" w:cs="Arial"/>
          <w:sz w:val="18"/>
          <w:szCs w:val="18"/>
        </w:rPr>
        <w:t>iscal</w:t>
      </w:r>
    </w:p>
    <w:p w:rsidR="00BE52E0" w:rsidRDefault="00BE52E0" w:rsidP="00BE52E0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Arial Nova" w:hAnsi="Arial Nova" w:cs="Arial"/>
          <w:sz w:val="18"/>
          <w:szCs w:val="18"/>
        </w:rPr>
      </w:pPr>
    </w:p>
    <w:p w:rsidR="00DF7ABD" w:rsidRDefault="00DF7ABD" w:rsidP="00BE52E0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Arial Nova" w:hAnsi="Arial Nova" w:cs="Arial"/>
          <w:sz w:val="18"/>
          <w:szCs w:val="18"/>
        </w:rPr>
      </w:pPr>
    </w:p>
    <w:p w:rsidR="00430FBD" w:rsidRDefault="00430FBD" w:rsidP="00430FBD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Arial Nova" w:hAnsi="Arial Nova" w:cs="Arial"/>
          <w:sz w:val="18"/>
          <w:szCs w:val="18"/>
        </w:rPr>
      </w:pPr>
    </w:p>
    <w:p w:rsidR="00B76007" w:rsidRPr="00B76007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INFORMACION PROGRAMATICA</w:t>
      </w:r>
    </w:p>
    <w:p w:rsidR="008B6456" w:rsidRDefault="008B6456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Gasto por </w:t>
      </w:r>
      <w:r w:rsidR="00BE52E0">
        <w:rPr>
          <w:rFonts w:ascii="Arial Nova" w:hAnsi="Arial Nova" w:cs="Arial"/>
          <w:sz w:val="18"/>
          <w:szCs w:val="18"/>
        </w:rPr>
        <w:t>c</w:t>
      </w:r>
      <w:r w:rsidRPr="00CD064A">
        <w:rPr>
          <w:rFonts w:ascii="Arial Nova" w:hAnsi="Arial Nova" w:cs="Arial"/>
          <w:sz w:val="18"/>
          <w:szCs w:val="18"/>
        </w:rPr>
        <w:t xml:space="preserve">ategoría </w:t>
      </w:r>
      <w:r w:rsidR="00EF7A5B">
        <w:rPr>
          <w:rFonts w:ascii="Arial Nova" w:hAnsi="Arial Nova" w:cs="Arial"/>
          <w:sz w:val="18"/>
          <w:szCs w:val="18"/>
        </w:rPr>
        <w:t>p</w:t>
      </w:r>
      <w:r w:rsidRPr="00CD064A">
        <w:rPr>
          <w:rFonts w:ascii="Arial Nova" w:hAnsi="Arial Nova" w:cs="Arial"/>
          <w:sz w:val="18"/>
          <w:szCs w:val="18"/>
        </w:rPr>
        <w:t>rogramática.</w:t>
      </w:r>
    </w:p>
    <w:p w:rsidR="00CF3A2F" w:rsidRDefault="00CF3A2F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Programas y proyectos e inversión</w:t>
      </w:r>
    </w:p>
    <w:p w:rsidR="00CF3A2F" w:rsidRPr="00CD064A" w:rsidRDefault="00CF3A2F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Indicadores de resultados</w:t>
      </w:r>
    </w:p>
    <w:p w:rsidR="004C20EF" w:rsidRDefault="004C20EF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B76007" w:rsidRPr="00B76007" w:rsidRDefault="00B76007" w:rsidP="00B76007">
      <w:pPr>
        <w:pStyle w:val="Prrafodelista"/>
        <w:numPr>
          <w:ilvl w:val="0"/>
          <w:numId w:val="16"/>
        </w:numPr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 w:rsidRPr="00B76007">
        <w:rPr>
          <w:rFonts w:ascii="Arial Nova" w:hAnsi="Arial Nova" w:cs="Arial"/>
          <w:sz w:val="18"/>
          <w:szCs w:val="18"/>
        </w:rPr>
        <w:t>ANEXOS</w:t>
      </w:r>
    </w:p>
    <w:p w:rsid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Relación de bienes muebles que componen el patrimonio</w:t>
      </w:r>
    </w:p>
    <w:p w:rsid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Relación de bienes inmuebles que componen el patrimonio</w:t>
      </w:r>
    </w:p>
    <w:p w:rsid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Relación de cuentas bancarias productivas específicas</w:t>
      </w:r>
    </w:p>
    <w:p w:rsid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Relación de esquemas bursátiles y de coberturas financieras</w:t>
      </w:r>
    </w:p>
    <w:p w:rsidR="00B76007" w:rsidRP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Ligas de difusión</w:t>
      </w:r>
    </w:p>
    <w:p w:rsidR="00B76007" w:rsidRDefault="00B76007" w:rsidP="00B76007">
      <w:p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</w:p>
    <w:p w:rsidR="00B76007" w:rsidRDefault="00B76007" w:rsidP="00B76007">
      <w:pPr>
        <w:pStyle w:val="Prrafodelista"/>
        <w:numPr>
          <w:ilvl w:val="0"/>
          <w:numId w:val="16"/>
        </w:numPr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INFORMACIÓN FINANCIERA (LEY DE DISCIPLINA FINANCIERA)</w:t>
      </w:r>
    </w:p>
    <w:p w:rsidR="00B76007" w:rsidRDefault="00B76007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Estado de situación financiera</w:t>
      </w:r>
      <w:r w:rsidR="00BF16BB">
        <w:rPr>
          <w:rFonts w:ascii="Arial Nova" w:hAnsi="Arial Nova" w:cs="Arial"/>
          <w:sz w:val="18"/>
          <w:szCs w:val="18"/>
        </w:rPr>
        <w:t xml:space="preserve"> detallado</w:t>
      </w:r>
      <w:r>
        <w:rPr>
          <w:rFonts w:ascii="Arial Nova" w:hAnsi="Arial Nova" w:cs="Arial"/>
          <w:sz w:val="18"/>
          <w:szCs w:val="18"/>
        </w:rPr>
        <w:t>-LDF</w:t>
      </w:r>
    </w:p>
    <w:p w:rsidR="00B76007" w:rsidRDefault="00B76007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Informe analítico de deuda pública y otros pasivos-LDF</w:t>
      </w:r>
    </w:p>
    <w:p w:rsidR="00B76007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Informe analítico de obligaciones diferentes de financiamiento-LDF</w:t>
      </w:r>
    </w:p>
    <w:p w:rsidR="00BF16BB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Balance presupuestario-LDF</w:t>
      </w:r>
    </w:p>
    <w:p w:rsidR="00BF16BB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Estado analítico de ingresos detallado-LDF</w:t>
      </w:r>
    </w:p>
    <w:p w:rsidR="00B76007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BF16BB">
        <w:rPr>
          <w:rFonts w:ascii="Arial Nova" w:hAnsi="Arial Nova" w:cs="Arial"/>
          <w:sz w:val="18"/>
          <w:szCs w:val="18"/>
        </w:rPr>
        <w:t>Estado analítico del ejercicio del presupuesto de egresos detallado-LDF (clasificación por objeto del gasto)</w:t>
      </w:r>
    </w:p>
    <w:p w:rsidR="00BF16BB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BF16BB">
        <w:rPr>
          <w:rFonts w:ascii="Arial Nova" w:hAnsi="Arial Nova" w:cs="Arial"/>
          <w:sz w:val="18"/>
          <w:szCs w:val="18"/>
        </w:rPr>
        <w:t>Estado analítico del ejercicio del presupuesto de egresos detallado-LDF (clasificación administrativa)</w:t>
      </w:r>
    </w:p>
    <w:p w:rsidR="00BF16BB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BF16BB">
        <w:rPr>
          <w:rFonts w:ascii="Arial Nova" w:hAnsi="Arial Nova" w:cs="Arial"/>
          <w:sz w:val="18"/>
          <w:szCs w:val="18"/>
        </w:rPr>
        <w:t>Estado analítico del ejercicio del presupuesto de egresos detallado-LDF (clasificación funcional)</w:t>
      </w:r>
    </w:p>
    <w:p w:rsidR="00BF16BB" w:rsidRPr="00BF16BB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BF16BB">
        <w:rPr>
          <w:rFonts w:ascii="Arial Nova" w:hAnsi="Arial Nova" w:cs="Arial"/>
          <w:sz w:val="18"/>
          <w:szCs w:val="18"/>
        </w:rPr>
        <w:t>Estado analítico del ejercicio del presupuesto de egresos detallado-LDF (clasificación servicios personales por categoría)</w:t>
      </w:r>
    </w:p>
    <w:p w:rsidR="00BF16BB" w:rsidRDefault="00BF16BB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BF16BB" w:rsidRPr="00CD064A" w:rsidRDefault="00BF16BB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8B6456" w:rsidRDefault="008B6456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Dentro de las atribuciones que la ley le confiere </w:t>
      </w:r>
      <w:r w:rsidR="004C20EF" w:rsidRPr="00CD064A">
        <w:rPr>
          <w:rFonts w:ascii="Arial Nova" w:hAnsi="Arial Nova" w:cs="Arial"/>
          <w:sz w:val="18"/>
          <w:szCs w:val="18"/>
        </w:rPr>
        <w:t>al Instituto</w:t>
      </w:r>
      <w:r w:rsidRPr="00CD064A">
        <w:rPr>
          <w:rFonts w:ascii="Arial Nova" w:hAnsi="Arial Nova" w:cs="Arial"/>
          <w:sz w:val="18"/>
          <w:szCs w:val="18"/>
        </w:rPr>
        <w:t xml:space="preserve"> de Acceso a la Información Pública y Protección de Datos Personales del Estado de Tlaxcala está la </w:t>
      </w:r>
      <w:r w:rsidR="004C20EF" w:rsidRPr="00CD064A">
        <w:rPr>
          <w:rFonts w:ascii="Arial Nova" w:hAnsi="Arial Nova" w:cs="Arial"/>
          <w:sz w:val="18"/>
          <w:szCs w:val="18"/>
        </w:rPr>
        <w:t>de garantizar</w:t>
      </w:r>
      <w:r w:rsidRPr="00CD064A">
        <w:rPr>
          <w:rFonts w:ascii="Arial Nova" w:hAnsi="Arial Nova" w:cs="Arial"/>
          <w:sz w:val="18"/>
          <w:szCs w:val="18"/>
        </w:rPr>
        <w:t xml:space="preserve"> el derecho de acceso a la información pública y la protección de datos personales</w:t>
      </w:r>
      <w:r w:rsidR="004C20EF" w:rsidRPr="00CD064A">
        <w:rPr>
          <w:rFonts w:ascii="Arial Nova" w:hAnsi="Arial Nova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CD064A">
        <w:rPr>
          <w:rFonts w:ascii="Arial Nova" w:hAnsi="Arial Nova" w:cs="Arial"/>
          <w:sz w:val="18"/>
          <w:szCs w:val="18"/>
        </w:rPr>
        <w:t>.</w:t>
      </w:r>
    </w:p>
    <w:p w:rsidR="00BF16BB" w:rsidRPr="00CD064A" w:rsidRDefault="00BF16BB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8B6456" w:rsidRPr="00CD064A" w:rsidRDefault="008B6456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lastRenderedPageBreak/>
        <w:t>La construcción permanente de una cultura democrática tiene como retos la revaloración de la dimensión ética de la política entendida como c</w:t>
      </w:r>
      <w:r w:rsidR="001D79BD" w:rsidRPr="00CD064A">
        <w:rPr>
          <w:rFonts w:ascii="Arial Nova" w:hAnsi="Arial Nova" w:cs="Arial"/>
          <w:sz w:val="18"/>
          <w:szCs w:val="18"/>
        </w:rPr>
        <w:t>oherencia personal y testimonio</w:t>
      </w:r>
      <w:r w:rsidRPr="00CD064A">
        <w:rPr>
          <w:rFonts w:ascii="Arial Nova" w:hAnsi="Arial Nova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BF16BB" w:rsidRDefault="00BF16BB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8B6456" w:rsidRPr="00CD064A" w:rsidRDefault="008B6456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La falta de transparencia y de voluntad política </w:t>
      </w:r>
      <w:r w:rsidR="001D79BD" w:rsidRPr="00CD064A">
        <w:rPr>
          <w:rFonts w:ascii="Arial Nova" w:hAnsi="Arial Nova" w:cs="Arial"/>
          <w:sz w:val="18"/>
          <w:szCs w:val="18"/>
        </w:rPr>
        <w:t>de los sectores de la sociedad “</w:t>
      </w:r>
      <w:r w:rsidRPr="00CD064A">
        <w:rPr>
          <w:rFonts w:ascii="Arial Nova" w:hAnsi="Arial Nova" w:cs="Arial"/>
          <w:sz w:val="18"/>
          <w:szCs w:val="18"/>
        </w:rPr>
        <w:t>públicos o privados</w:t>
      </w:r>
      <w:r w:rsidR="001D79BD" w:rsidRPr="00CD064A">
        <w:rPr>
          <w:rFonts w:ascii="Arial Nova" w:hAnsi="Arial Nova" w:cs="Arial"/>
          <w:sz w:val="18"/>
          <w:szCs w:val="18"/>
        </w:rPr>
        <w:t>”</w:t>
      </w:r>
      <w:r w:rsidRPr="00CD064A">
        <w:rPr>
          <w:rFonts w:ascii="Arial Nova" w:hAnsi="Arial Nova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BF16BB" w:rsidRDefault="00BF16BB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CA2D37" w:rsidRPr="00CD064A" w:rsidRDefault="00D74DA8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El a</w:t>
      </w:r>
      <w:r w:rsidR="008B6456" w:rsidRPr="00CD064A">
        <w:rPr>
          <w:rFonts w:ascii="Arial Nova" w:hAnsi="Arial Nova" w:cs="Arial"/>
          <w:sz w:val="18"/>
          <w:szCs w:val="18"/>
        </w:rPr>
        <w:t xml:space="preserve">cceso a la </w:t>
      </w:r>
      <w:r w:rsidR="004C20EF" w:rsidRPr="00CD064A">
        <w:rPr>
          <w:rFonts w:ascii="Arial Nova" w:hAnsi="Arial Nova" w:cs="Arial"/>
          <w:sz w:val="18"/>
          <w:szCs w:val="18"/>
        </w:rPr>
        <w:t>i</w:t>
      </w:r>
      <w:r w:rsidR="008B6456" w:rsidRPr="00CD064A">
        <w:rPr>
          <w:rFonts w:ascii="Arial Nova" w:hAnsi="Arial Nova" w:cs="Arial"/>
          <w:sz w:val="18"/>
          <w:szCs w:val="18"/>
        </w:rPr>
        <w:t xml:space="preserve">nformación pública y </w:t>
      </w:r>
      <w:r w:rsidRPr="00CD064A">
        <w:rPr>
          <w:rFonts w:ascii="Arial Nova" w:hAnsi="Arial Nova" w:cs="Arial"/>
          <w:sz w:val="18"/>
          <w:szCs w:val="18"/>
        </w:rPr>
        <w:t>la p</w:t>
      </w:r>
      <w:r w:rsidR="008B6456" w:rsidRPr="00CD064A">
        <w:rPr>
          <w:rFonts w:ascii="Arial Nova" w:hAnsi="Arial Nova" w:cs="Arial"/>
          <w:sz w:val="18"/>
          <w:szCs w:val="18"/>
        </w:rPr>
        <w:t xml:space="preserve">rotección de </w:t>
      </w:r>
      <w:r w:rsidRPr="00CD064A">
        <w:rPr>
          <w:rFonts w:ascii="Arial Nova" w:hAnsi="Arial Nova" w:cs="Arial"/>
          <w:sz w:val="18"/>
          <w:szCs w:val="18"/>
        </w:rPr>
        <w:t>d</w:t>
      </w:r>
      <w:r w:rsidR="008B6456" w:rsidRPr="00CD064A">
        <w:rPr>
          <w:rFonts w:ascii="Arial Nova" w:hAnsi="Arial Nova" w:cs="Arial"/>
          <w:sz w:val="18"/>
          <w:szCs w:val="18"/>
        </w:rPr>
        <w:t xml:space="preserve">atos </w:t>
      </w:r>
      <w:r w:rsidRPr="00CD064A">
        <w:rPr>
          <w:rFonts w:ascii="Arial Nova" w:hAnsi="Arial Nova" w:cs="Arial"/>
          <w:sz w:val="18"/>
          <w:szCs w:val="18"/>
        </w:rPr>
        <w:t>p</w:t>
      </w:r>
      <w:r w:rsidR="008B6456" w:rsidRPr="00CD064A">
        <w:rPr>
          <w:rFonts w:ascii="Arial Nova" w:hAnsi="Arial Nova" w:cs="Arial"/>
          <w:sz w:val="18"/>
          <w:szCs w:val="18"/>
        </w:rPr>
        <w:t>ersonale</w:t>
      </w:r>
      <w:r w:rsidR="001D79BD" w:rsidRPr="00CD064A">
        <w:rPr>
          <w:rFonts w:ascii="Arial Nova" w:hAnsi="Arial Nova" w:cs="Arial"/>
          <w:sz w:val="18"/>
          <w:szCs w:val="18"/>
        </w:rPr>
        <w:t>s</w:t>
      </w:r>
      <w:r w:rsidRPr="00CD064A">
        <w:rPr>
          <w:rFonts w:ascii="Arial Nova" w:hAnsi="Arial Nova" w:cs="Arial"/>
          <w:sz w:val="18"/>
          <w:szCs w:val="18"/>
        </w:rPr>
        <w:t xml:space="preserve">, </w:t>
      </w:r>
      <w:r w:rsidR="001D79BD" w:rsidRPr="00CD064A">
        <w:rPr>
          <w:rFonts w:ascii="Arial Nova" w:hAnsi="Arial Nova" w:cs="Arial"/>
          <w:sz w:val="18"/>
          <w:szCs w:val="18"/>
        </w:rPr>
        <w:t>se rig</w:t>
      </w:r>
      <w:r w:rsidR="008B6456" w:rsidRPr="00CD064A">
        <w:rPr>
          <w:rFonts w:ascii="Arial Nova" w:hAnsi="Arial Nova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 w:rsidRPr="00CD064A">
        <w:rPr>
          <w:rFonts w:ascii="Arial Nova" w:hAnsi="Arial Nova" w:cs="Arial"/>
          <w:sz w:val="18"/>
          <w:szCs w:val="18"/>
        </w:rPr>
        <w:t xml:space="preserve"> Acceso a la Información Pú</w:t>
      </w:r>
      <w:r w:rsidR="008B6456" w:rsidRPr="00CD064A">
        <w:rPr>
          <w:rFonts w:ascii="Arial Nova" w:hAnsi="Arial Nova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 w:rsidRPr="00CD064A">
        <w:rPr>
          <w:rFonts w:ascii="Arial Nova" w:hAnsi="Arial Nova" w:cs="Arial"/>
          <w:sz w:val="18"/>
          <w:szCs w:val="18"/>
        </w:rPr>
        <w:t>formas cons</w:t>
      </w:r>
      <w:r w:rsidR="008B6456" w:rsidRPr="00CD064A">
        <w:rPr>
          <w:rFonts w:ascii="Arial Nova" w:hAnsi="Arial Nova" w:cs="Arial"/>
          <w:sz w:val="18"/>
          <w:szCs w:val="18"/>
        </w:rPr>
        <w:t>t</w:t>
      </w:r>
      <w:r w:rsidR="001D79BD" w:rsidRPr="00CD064A">
        <w:rPr>
          <w:rFonts w:ascii="Arial Nova" w:hAnsi="Arial Nova" w:cs="Arial"/>
          <w:sz w:val="18"/>
          <w:szCs w:val="18"/>
        </w:rPr>
        <w:t>it</w:t>
      </w:r>
      <w:r w:rsidR="008B6456" w:rsidRPr="00CD064A">
        <w:rPr>
          <w:rFonts w:ascii="Arial Nova" w:hAnsi="Arial Nova" w:cs="Arial"/>
          <w:sz w:val="18"/>
          <w:szCs w:val="18"/>
        </w:rPr>
        <w:t>ucionales en materia de Transparencia aprobadas por el Congreso de la Unión el pasado 7 de febrero de</w:t>
      </w:r>
      <w:r w:rsidR="001D79BD" w:rsidRPr="00CD064A">
        <w:rPr>
          <w:rFonts w:ascii="Arial Nova" w:hAnsi="Arial Nova" w:cs="Arial"/>
          <w:sz w:val="18"/>
          <w:szCs w:val="18"/>
        </w:rPr>
        <w:t>l 2014</w:t>
      </w:r>
      <w:r w:rsidR="008B6456" w:rsidRPr="00CD064A">
        <w:rPr>
          <w:rFonts w:ascii="Arial Nova" w:hAnsi="Arial Nova" w:cs="Arial"/>
          <w:sz w:val="18"/>
          <w:szCs w:val="18"/>
        </w:rPr>
        <w:t>, la cual tiene por objeto primordial el establecimiento de un Sistema N</w:t>
      </w:r>
      <w:r w:rsidR="00906A8D" w:rsidRPr="00CD064A">
        <w:rPr>
          <w:rFonts w:ascii="Arial Nova" w:hAnsi="Arial Nova" w:cs="Arial"/>
          <w:sz w:val="18"/>
          <w:szCs w:val="18"/>
        </w:rPr>
        <w:t>acional de Transparencia</w:t>
      </w:r>
      <w:r w:rsidR="008B6456" w:rsidRPr="00CD064A">
        <w:rPr>
          <w:rFonts w:ascii="Arial Nova" w:hAnsi="Arial Nova" w:cs="Arial"/>
          <w:sz w:val="18"/>
          <w:szCs w:val="18"/>
        </w:rPr>
        <w:t xml:space="preserve"> a través de una Ley de carácter General, busca dotar de mayores facultades a los Órga</w:t>
      </w:r>
      <w:r w:rsidR="00906A8D" w:rsidRPr="00CD064A">
        <w:rPr>
          <w:rFonts w:ascii="Arial Nova" w:hAnsi="Arial Nova" w:cs="Arial"/>
          <w:sz w:val="18"/>
          <w:szCs w:val="18"/>
        </w:rPr>
        <w:t>nos Garantes Locales, la</w:t>
      </w:r>
      <w:r w:rsidR="008B6456" w:rsidRPr="00CD064A">
        <w:rPr>
          <w:rFonts w:ascii="Arial Nova" w:hAnsi="Arial Nova" w:cs="Arial"/>
          <w:sz w:val="18"/>
          <w:szCs w:val="18"/>
        </w:rPr>
        <w:t xml:space="preserve"> cual persigue se considere como base del presupuesto de cada</w:t>
      </w:r>
      <w:r w:rsidR="001D79BD" w:rsidRPr="00CD064A">
        <w:rPr>
          <w:rFonts w:ascii="Arial Nova" w:hAnsi="Arial Nova" w:cs="Arial"/>
          <w:sz w:val="18"/>
          <w:szCs w:val="18"/>
        </w:rPr>
        <w:t xml:space="preserve"> Órgano Garante, el ingreso per </w:t>
      </w:r>
      <w:r w:rsidR="008B6456" w:rsidRPr="00CD064A">
        <w:rPr>
          <w:rFonts w:ascii="Arial Nova" w:hAnsi="Arial Nova" w:cs="Arial"/>
          <w:sz w:val="18"/>
          <w:szCs w:val="18"/>
        </w:rPr>
        <w:t>cápita del Estado, a fin de asegurar el cumplimiento de sus obli</w:t>
      </w:r>
      <w:r w:rsidR="001D79BD" w:rsidRPr="00CD064A">
        <w:rPr>
          <w:rFonts w:ascii="Arial Nova" w:hAnsi="Arial Nova" w:cs="Arial"/>
          <w:sz w:val="18"/>
          <w:szCs w:val="18"/>
        </w:rPr>
        <w:t>gaciones</w:t>
      </w:r>
      <w:r w:rsidR="005A5C26" w:rsidRPr="00CD064A">
        <w:rPr>
          <w:rFonts w:ascii="Arial Nova" w:hAnsi="Arial Nova" w:cs="Arial"/>
          <w:sz w:val="18"/>
          <w:szCs w:val="18"/>
        </w:rPr>
        <w:t xml:space="preserve"> y su buen funcionamiento</w:t>
      </w:r>
      <w:r w:rsidR="001D79BD" w:rsidRPr="00CD064A">
        <w:rPr>
          <w:rFonts w:ascii="Arial Nova" w:hAnsi="Arial Nova" w:cs="Arial"/>
          <w:sz w:val="18"/>
          <w:szCs w:val="18"/>
        </w:rPr>
        <w:t>.</w:t>
      </w:r>
    </w:p>
    <w:p w:rsidR="00C95DCD" w:rsidRPr="00CD064A" w:rsidRDefault="00C95DCD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sectPr w:rsidR="00C95DCD" w:rsidRPr="00CD064A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D0" w:rsidRDefault="00B97FD0" w:rsidP="00EA5418">
      <w:pPr>
        <w:spacing w:after="0" w:line="240" w:lineRule="auto"/>
      </w:pPr>
      <w:r>
        <w:separator/>
      </w:r>
    </w:p>
  </w:endnote>
  <w:endnote w:type="continuationSeparator" w:id="0">
    <w:p w:rsidR="00B97FD0" w:rsidRDefault="00B97FD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71716A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C5E18" w:rsidRPr="008C5E1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ECC470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C5E18" w:rsidRPr="008C5E18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D0" w:rsidRDefault="00B97FD0" w:rsidP="00EA5418">
      <w:pPr>
        <w:spacing w:after="0" w:line="240" w:lineRule="auto"/>
      </w:pPr>
      <w:r>
        <w:separator/>
      </w:r>
    </w:p>
  </w:footnote>
  <w:footnote w:type="continuationSeparator" w:id="0">
    <w:p w:rsidR="00B97FD0" w:rsidRDefault="00B97FD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1"/>
      <w:gridCol w:w="3192"/>
      <w:gridCol w:w="578"/>
      <w:gridCol w:w="1641"/>
      <w:gridCol w:w="4124"/>
    </w:tblGrid>
    <w:tr w:rsidR="00B66550" w:rsidTr="006156D8">
      <w:tc>
        <w:tcPr>
          <w:tcW w:w="415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192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78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4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2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432391" w:rsidRDefault="006156D8" w:rsidP="0020087B">
    <w:pPr>
      <w:pStyle w:val="Encabezado"/>
      <w:jc w:val="center"/>
    </w:pPr>
    <w:r w:rsidRPr="006156D8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88448" behindDoc="0" locked="0" layoutInCell="1" allowOverlap="1" wp14:anchorId="5E2FD575" wp14:editId="6C1CC391">
              <wp:simplePos x="0" y="0"/>
              <wp:positionH relativeFrom="column">
                <wp:posOffset>4634230</wp:posOffset>
              </wp:positionH>
              <wp:positionV relativeFrom="paragraph">
                <wp:posOffset>-515620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6D8" w:rsidRDefault="006156D8" w:rsidP="006156D8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6156D8" w:rsidRPr="00DE4269" w:rsidRDefault="006156D8" w:rsidP="006156D8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E2FD575" id="9 Grupo" o:spid="_x0000_s1026" style="position:absolute;left:0;text-align:left;margin-left:364.9pt;margin-top:-40.6pt;width:87.1pt;height:46pt;z-index:251688448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255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sBYgtR2QKO&#10;F9vKdj1uzLIotbviWZjgHp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n6NueWwQAAJIKAAAO&#10;AAAAAAAAAAAAAAAAADwCAABkcnMvZTJvRG9jLnhtbFBLAQItABQABgAIAAAAIQBYYLMbugAAACIB&#10;AAAZAAAAAAAAAAAAAAAAAMMGAABkcnMvX3JlbHMvZTJvRG9jLnhtbC5yZWxzUEsBAi0AFAAGAAgA&#10;AAAhAD5AbS3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6156D8" w:rsidRDefault="006156D8" w:rsidP="006156D8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6156D8" w:rsidRPr="00DE4269" w:rsidRDefault="006156D8" w:rsidP="006156D8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6156D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2126694A" wp14:editId="59A1F966">
              <wp:simplePos x="0" y="0"/>
              <wp:positionH relativeFrom="column">
                <wp:posOffset>966158</wp:posOffset>
              </wp:positionH>
              <wp:positionV relativeFrom="paragraph">
                <wp:posOffset>-541224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6D8" w:rsidRDefault="006156D8" w:rsidP="006156D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6156D8" w:rsidRDefault="006156D8" w:rsidP="006156D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6156D8" w:rsidRPr="00275FC6" w:rsidRDefault="006156D8" w:rsidP="006156D8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</w:t>
                          </w:r>
                          <w:r w:rsidR="001467D2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30 DE </w:t>
                          </w:r>
                          <w:r w:rsidR="008C5E18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6694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76.1pt;margin-top:-42.6pt;width:287.25pt;height:6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2f777d4AAAAKAQAADwAAAAAAAAAAAAAAAAAZBQAAZHJzL2Rvd25yZXYueG1sUEsFBgAAAAAE&#10;AAQA8wAAACQGAAAAAA==&#10;" filled="f" stroked="f">
              <v:textbox>
                <w:txbxContent>
                  <w:p w:rsidR="006156D8" w:rsidRDefault="006156D8" w:rsidP="006156D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6156D8" w:rsidRDefault="006156D8" w:rsidP="006156D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6156D8" w:rsidRPr="00275FC6" w:rsidRDefault="006156D8" w:rsidP="006156D8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</w:t>
                    </w:r>
                    <w:r w:rsidR="001467D2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30 DE </w:t>
                    </w:r>
                    <w:r w:rsidR="008C5E18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  <w:r w:rsidR="00432391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72E6CE4" id="4 Conector recto" o:spid="_x0000_s1026" style="position:absolute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8"/>
      <w:gridCol w:w="3183"/>
      <w:gridCol w:w="577"/>
      <w:gridCol w:w="1636"/>
      <w:gridCol w:w="4112"/>
    </w:tblGrid>
    <w:tr w:rsidR="00B66550" w:rsidTr="00E72605">
      <w:tc>
        <w:tcPr>
          <w:tcW w:w="4219" w:type="dxa"/>
        </w:tcPr>
        <w:p w:rsidR="00E774C5" w:rsidRDefault="00520627" w:rsidP="00520627">
          <w:pPr>
            <w:pStyle w:val="Encabezado"/>
            <w:tabs>
              <w:tab w:val="center" w:pos="2001"/>
              <w:tab w:val="left" w:pos="2568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  <w:r>
            <w:rPr>
              <w:rFonts w:ascii="Soberana Sans Light" w:hAnsi="Soberana Sans Light"/>
            </w:rPr>
            <w:tab/>
          </w:r>
        </w:p>
      </w:tc>
      <w:tc>
        <w:tcPr>
          <w:tcW w:w="3243" w:type="dxa"/>
        </w:tcPr>
        <w:p w:rsidR="00E774C5" w:rsidRDefault="00DF7ABD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Arial" w:hAnsi="Arial" w:cs="Arial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376" behindDoc="0" locked="0" layoutInCell="1" allowOverlap="1" wp14:anchorId="44E013AE" wp14:editId="635FD625">
                    <wp:simplePos x="0" y="0"/>
                    <wp:positionH relativeFrom="column">
                      <wp:posOffset>1263351</wp:posOffset>
                    </wp:positionH>
                    <wp:positionV relativeFrom="paragraph">
                      <wp:posOffset>-635</wp:posOffset>
                    </wp:positionV>
                    <wp:extent cx="1058174" cy="264543"/>
                    <wp:effectExtent l="0" t="0" r="8890" b="254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8174" cy="264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ABD" w:rsidRPr="006156D8" w:rsidRDefault="00DF7ABD" w:rsidP="00DF7ABD">
                                <w:pPr>
                                  <w:pStyle w:val="PRIMERAPLANA"/>
                                  <w:spacing w:after="120"/>
                                  <w:jc w:val="center"/>
                                </w:pPr>
                                <w:r w:rsidRPr="006156D8">
                                  <w:rPr>
                                    <w:rFonts w:ascii="Soberana Titular" w:eastAsia="Calibri" w:hAnsi="Soberana Titular" w:cs="Arial"/>
                                    <w:bCs/>
                                    <w:color w:val="808080"/>
                                  </w:rPr>
                                  <w:t>AUTÓNOMO</w:t>
                                </w:r>
                              </w:p>
                              <w:p w:rsidR="00DF7ABD" w:rsidRDefault="00DF7ABD" w:rsidP="00DF7ABD">
                                <w:pPr>
                                  <w:pStyle w:val="PRIMERAPLANA"/>
                                  <w:spacing w:after="20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44E013A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99.5pt;margin-top:-.05pt;width:83.3pt;height:20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" stroked="f">
                    <v:textbox>
                      <w:txbxContent>
                        <w:p w:rsidR="00DF7ABD" w:rsidRPr="006156D8" w:rsidRDefault="00DF7ABD" w:rsidP="00DF7ABD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6156D8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DF7ABD" w:rsidRDefault="00DF7ABD" w:rsidP="00DF7ABD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195F41" id="1 Conector recto" o:spid="_x0000_s1026" style="position:absolute;flip:y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62AB"/>
    <w:multiLevelType w:val="hybridMultilevel"/>
    <w:tmpl w:val="478E92C2"/>
    <w:lvl w:ilvl="0" w:tplc="0EFEA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FB3"/>
    <w:multiLevelType w:val="hybridMultilevel"/>
    <w:tmpl w:val="2946B080"/>
    <w:lvl w:ilvl="0" w:tplc="0CF2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1C80"/>
    <w:multiLevelType w:val="hybridMultilevel"/>
    <w:tmpl w:val="1ECCCC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96E0F"/>
    <w:multiLevelType w:val="hybridMultilevel"/>
    <w:tmpl w:val="12828A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F6BE9"/>
    <w:multiLevelType w:val="hybridMultilevel"/>
    <w:tmpl w:val="42F8A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F3047"/>
    <w:multiLevelType w:val="hybridMultilevel"/>
    <w:tmpl w:val="E6C26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4046"/>
    <w:multiLevelType w:val="hybridMultilevel"/>
    <w:tmpl w:val="E58811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16"/>
  </w:num>
  <w:num w:numId="14">
    <w:abstractNumId w:val="12"/>
  </w:num>
  <w:num w:numId="15">
    <w:abstractNumId w:val="7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39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06250F"/>
    <w:rsid w:val="000901D5"/>
    <w:rsid w:val="000A336B"/>
    <w:rsid w:val="000F3C7B"/>
    <w:rsid w:val="0013011C"/>
    <w:rsid w:val="001467D2"/>
    <w:rsid w:val="00147E00"/>
    <w:rsid w:val="001646D9"/>
    <w:rsid w:val="00186E69"/>
    <w:rsid w:val="001B1B72"/>
    <w:rsid w:val="001B3C7C"/>
    <w:rsid w:val="001C70F7"/>
    <w:rsid w:val="001D79BD"/>
    <w:rsid w:val="0020087B"/>
    <w:rsid w:val="00224041"/>
    <w:rsid w:val="0023593A"/>
    <w:rsid w:val="002865A7"/>
    <w:rsid w:val="002A70B3"/>
    <w:rsid w:val="002B66D1"/>
    <w:rsid w:val="002D69DE"/>
    <w:rsid w:val="002E5897"/>
    <w:rsid w:val="00307635"/>
    <w:rsid w:val="00355821"/>
    <w:rsid w:val="003575A4"/>
    <w:rsid w:val="003610E0"/>
    <w:rsid w:val="00372F40"/>
    <w:rsid w:val="003D5DBF"/>
    <w:rsid w:val="003D5F54"/>
    <w:rsid w:val="003D7AE0"/>
    <w:rsid w:val="003E7FD0"/>
    <w:rsid w:val="00407B73"/>
    <w:rsid w:val="00430FBD"/>
    <w:rsid w:val="00432391"/>
    <w:rsid w:val="0043311E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0627"/>
    <w:rsid w:val="00522632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E0F30"/>
    <w:rsid w:val="006048D2"/>
    <w:rsid w:val="00611E39"/>
    <w:rsid w:val="006156D8"/>
    <w:rsid w:val="0066392E"/>
    <w:rsid w:val="00664658"/>
    <w:rsid w:val="00670E6C"/>
    <w:rsid w:val="006954E6"/>
    <w:rsid w:val="006A6EE6"/>
    <w:rsid w:val="006B269D"/>
    <w:rsid w:val="006B729B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C2D56"/>
    <w:rsid w:val="008C5E18"/>
    <w:rsid w:val="008D4272"/>
    <w:rsid w:val="008E3652"/>
    <w:rsid w:val="008F6AF0"/>
    <w:rsid w:val="00906A8D"/>
    <w:rsid w:val="0093320E"/>
    <w:rsid w:val="009733E8"/>
    <w:rsid w:val="00A00B39"/>
    <w:rsid w:val="00A14B74"/>
    <w:rsid w:val="00A609AC"/>
    <w:rsid w:val="00AB13B7"/>
    <w:rsid w:val="00AD3944"/>
    <w:rsid w:val="00AD4F61"/>
    <w:rsid w:val="00B17423"/>
    <w:rsid w:val="00B42A02"/>
    <w:rsid w:val="00B66550"/>
    <w:rsid w:val="00B76007"/>
    <w:rsid w:val="00B849EE"/>
    <w:rsid w:val="00B97FD0"/>
    <w:rsid w:val="00BA3A7B"/>
    <w:rsid w:val="00BD0912"/>
    <w:rsid w:val="00BE52E0"/>
    <w:rsid w:val="00BF16BB"/>
    <w:rsid w:val="00BF28FB"/>
    <w:rsid w:val="00C06659"/>
    <w:rsid w:val="00C44F01"/>
    <w:rsid w:val="00C81D62"/>
    <w:rsid w:val="00C95DCD"/>
    <w:rsid w:val="00CA2D37"/>
    <w:rsid w:val="00CC5CB6"/>
    <w:rsid w:val="00CD064A"/>
    <w:rsid w:val="00CE41E2"/>
    <w:rsid w:val="00CF3A2F"/>
    <w:rsid w:val="00D055EC"/>
    <w:rsid w:val="00D308D6"/>
    <w:rsid w:val="00D404ED"/>
    <w:rsid w:val="00D42E11"/>
    <w:rsid w:val="00D51261"/>
    <w:rsid w:val="00D566F4"/>
    <w:rsid w:val="00D67B12"/>
    <w:rsid w:val="00D748D3"/>
    <w:rsid w:val="00D74DA8"/>
    <w:rsid w:val="00DD230F"/>
    <w:rsid w:val="00DD235C"/>
    <w:rsid w:val="00DF7ABD"/>
    <w:rsid w:val="00E32708"/>
    <w:rsid w:val="00E72605"/>
    <w:rsid w:val="00E774C5"/>
    <w:rsid w:val="00E903F9"/>
    <w:rsid w:val="00EA003F"/>
    <w:rsid w:val="00EA5418"/>
    <w:rsid w:val="00EB5384"/>
    <w:rsid w:val="00ED1031"/>
    <w:rsid w:val="00EF7A5B"/>
    <w:rsid w:val="00F01BE5"/>
    <w:rsid w:val="00F33CA8"/>
    <w:rsid w:val="00F90297"/>
    <w:rsid w:val="00F913F5"/>
    <w:rsid w:val="00F96944"/>
    <w:rsid w:val="00FA20B6"/>
    <w:rsid w:val="00FB0121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8B30D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DF7AB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6A09-D41F-4DAD-B6B3-F1D5B40F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</cp:lastModifiedBy>
  <cp:revision>10</cp:revision>
  <cp:lastPrinted>2022-04-13T20:38:00Z</cp:lastPrinted>
  <dcterms:created xsi:type="dcterms:W3CDTF">2022-04-11T14:56:00Z</dcterms:created>
  <dcterms:modified xsi:type="dcterms:W3CDTF">2022-10-07T17:34:00Z</dcterms:modified>
</cp:coreProperties>
</file>