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2B1E01" w:rsidRPr="00B87F20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24"/>
          <w:szCs w:val="18"/>
        </w:rPr>
      </w:pPr>
      <w:r w:rsidRPr="00B87F20">
        <w:rPr>
          <w:rFonts w:ascii="Arial" w:hAnsi="Arial" w:cs="Arial"/>
          <w:b/>
          <w:sz w:val="24"/>
          <w:szCs w:val="18"/>
        </w:rPr>
        <w:t>INTRODUCCIÓN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 xml:space="preserve">En cumplimiento a la Ley General de Contabilidad Gubernamental en su artículo 53, que establece que la Cuenta Pública de la Universidad Politécnica de </w:t>
      </w:r>
      <w:r w:rsidR="008B09CC" w:rsidRPr="00F36E3A">
        <w:rPr>
          <w:rFonts w:ascii="Arial" w:hAnsi="Arial" w:cs="Arial"/>
        </w:rPr>
        <w:t>Tlaxcala, La</w:t>
      </w:r>
      <w:r w:rsidRPr="00F36E3A">
        <w:rPr>
          <w:rFonts w:ascii="Arial" w:hAnsi="Arial" w:cs="Arial"/>
        </w:rPr>
        <w:t xml:space="preserve">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Así mismo el acuerdo por el que se armoniza la estructura de las cuentas públicas, emitido por el Consejo Nacional de Armonización Contable.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2B1E01" w:rsidRPr="00F36E3A" w:rsidRDefault="00D41EC6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situación financiera;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actividades;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v</w:t>
      </w:r>
      <w:r w:rsidR="00BC7B07" w:rsidRPr="00F36E3A">
        <w:rPr>
          <w:rFonts w:ascii="Arial" w:eastAsia="Times New Roman" w:hAnsi="Arial" w:cs="Arial"/>
          <w:lang w:eastAsia="es-MX"/>
        </w:rPr>
        <w:t>ariación en la hacienda pública;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cambios en la situación financiera;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Informes sobre pasivos contingentes;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Notas a los estados financieros;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del activo;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 xml:space="preserve">Estado analítico de la deuda y otros pasivos; y 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flujos de efectivo.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lastRenderedPageBreak/>
        <w:t>Por su parte la información presupuestal consolidada que se presenta es la siguiente: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 ingresos;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del ejercicio del presupuesto de egresos con las siguientes clasificaciones:</w:t>
      </w:r>
    </w:p>
    <w:p w:rsidR="002B1E01" w:rsidRPr="00F36E3A" w:rsidRDefault="002B1E01" w:rsidP="005669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Administrativa;</w:t>
      </w:r>
    </w:p>
    <w:p w:rsidR="002B1E01" w:rsidRPr="00F36E3A" w:rsidRDefault="002B1E01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ii.     Económica y por objeto del gasto, y</w:t>
      </w:r>
    </w:p>
    <w:p w:rsidR="002B1E01" w:rsidRPr="00F36E3A" w:rsidRDefault="002B1E01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iii.    Funcional-programática;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Endeudamiento neto;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Intereses de la deuda.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La información programática consolidada que se presenta es la siguiente:</w:t>
      </w:r>
    </w:p>
    <w:p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Gasto por Categoría Programática.</w:t>
      </w:r>
      <w:bookmarkStart w:id="0" w:name="_GoBack"/>
      <w:bookmarkEnd w:id="0"/>
    </w:p>
    <w:p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Así como los Anexos correspondientes.</w:t>
      </w:r>
    </w:p>
    <w:p w:rsidR="00056042" w:rsidRPr="00F36E3A" w:rsidRDefault="00056042" w:rsidP="0044253C">
      <w:pPr>
        <w:jc w:val="center"/>
        <w:rPr>
          <w:rFonts w:ascii="Soberana Sans Light" w:hAnsi="Soberana Sans Light"/>
        </w:rPr>
      </w:pPr>
    </w:p>
    <w:p w:rsidR="00AB13B7" w:rsidRPr="00F36E3A" w:rsidRDefault="00AB13B7" w:rsidP="00B87F20"/>
    <w:sectPr w:rsidR="00AB13B7" w:rsidRPr="00F36E3A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DA" w:rsidRDefault="003B58DA" w:rsidP="00EA5418">
      <w:pPr>
        <w:spacing w:after="0" w:line="240" w:lineRule="auto"/>
      </w:pPr>
      <w:r>
        <w:separator/>
      </w:r>
    </w:p>
  </w:endnote>
  <w:endnote w:type="continuationSeparator" w:id="0">
    <w:p w:rsidR="003B58DA" w:rsidRDefault="003B58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25F9C" w:rsidRPr="00925F9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25F9C" w:rsidRPr="00925F9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DA" w:rsidRDefault="003B58DA" w:rsidP="00EA5418">
      <w:pPr>
        <w:spacing w:after="0" w:line="240" w:lineRule="auto"/>
      </w:pPr>
      <w:r>
        <w:separator/>
      </w:r>
    </w:p>
  </w:footnote>
  <w:footnote w:type="continuationSeparator" w:id="0">
    <w:p w:rsidR="003B58DA" w:rsidRDefault="003B58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D82E6" wp14:editId="07B3B2CF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39205D" wp14:editId="039B5F2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925F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1F55C7" w:rsidRDefault="001F55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39205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925F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1F55C7" w:rsidRDefault="001F55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A0572A" wp14:editId="233CD2AE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0B3"/>
    <w:multiLevelType w:val="hybridMultilevel"/>
    <w:tmpl w:val="5A98CC06"/>
    <w:lvl w:ilvl="0" w:tplc="A2564D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F6C4D"/>
    <w:rsid w:val="001125D5"/>
    <w:rsid w:val="0013011C"/>
    <w:rsid w:val="00137CA7"/>
    <w:rsid w:val="00146CD6"/>
    <w:rsid w:val="001646D9"/>
    <w:rsid w:val="001802A7"/>
    <w:rsid w:val="0018678F"/>
    <w:rsid w:val="001B1B72"/>
    <w:rsid w:val="001B7195"/>
    <w:rsid w:val="001F55C7"/>
    <w:rsid w:val="00273B94"/>
    <w:rsid w:val="002865A7"/>
    <w:rsid w:val="002A70B3"/>
    <w:rsid w:val="002B1E01"/>
    <w:rsid w:val="002E5897"/>
    <w:rsid w:val="00307635"/>
    <w:rsid w:val="00355821"/>
    <w:rsid w:val="003575A4"/>
    <w:rsid w:val="003610E0"/>
    <w:rsid w:val="00372F40"/>
    <w:rsid w:val="003B58DA"/>
    <w:rsid w:val="003C4F46"/>
    <w:rsid w:val="003D5DBF"/>
    <w:rsid w:val="003E7691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40418"/>
    <w:rsid w:val="00566922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05658"/>
    <w:rsid w:val="00815E6B"/>
    <w:rsid w:val="00826C58"/>
    <w:rsid w:val="008407CA"/>
    <w:rsid w:val="00850E90"/>
    <w:rsid w:val="008A6E4D"/>
    <w:rsid w:val="008B0017"/>
    <w:rsid w:val="008B09CC"/>
    <w:rsid w:val="008B12A1"/>
    <w:rsid w:val="008D4272"/>
    <w:rsid w:val="008E3652"/>
    <w:rsid w:val="00925F9C"/>
    <w:rsid w:val="009E5F01"/>
    <w:rsid w:val="009E6D81"/>
    <w:rsid w:val="00A14B74"/>
    <w:rsid w:val="00AB13B7"/>
    <w:rsid w:val="00B15AC1"/>
    <w:rsid w:val="00B17423"/>
    <w:rsid w:val="00B42A02"/>
    <w:rsid w:val="00B849EE"/>
    <w:rsid w:val="00B87F20"/>
    <w:rsid w:val="00BC7B07"/>
    <w:rsid w:val="00C116E7"/>
    <w:rsid w:val="00C44F01"/>
    <w:rsid w:val="00C94C79"/>
    <w:rsid w:val="00CA2D37"/>
    <w:rsid w:val="00CB72B7"/>
    <w:rsid w:val="00CC5CB6"/>
    <w:rsid w:val="00D055EC"/>
    <w:rsid w:val="00D404ED"/>
    <w:rsid w:val="00D41EC6"/>
    <w:rsid w:val="00D51261"/>
    <w:rsid w:val="00D748D3"/>
    <w:rsid w:val="00DD230F"/>
    <w:rsid w:val="00E32708"/>
    <w:rsid w:val="00EA5418"/>
    <w:rsid w:val="00EC35C4"/>
    <w:rsid w:val="00F36E3A"/>
    <w:rsid w:val="00F96944"/>
    <w:rsid w:val="00FC55F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64548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74A2-0382-4F39-9AD9-98A2F48F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13</cp:revision>
  <cp:lastPrinted>2018-12-31T17:08:00Z</cp:lastPrinted>
  <dcterms:created xsi:type="dcterms:W3CDTF">2018-11-12T18:26:00Z</dcterms:created>
  <dcterms:modified xsi:type="dcterms:W3CDTF">2022-04-05T19:33:00Z</dcterms:modified>
</cp:coreProperties>
</file>