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45F66" w14:textId="77777777" w:rsidR="007D6E9A" w:rsidRDefault="00FD4D1C" w:rsidP="003D5DBF">
      <w:pPr>
        <w:jc w:val="center"/>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5.65pt;margin-top:7.15pt;width:721.1pt;height:676.75pt;z-index:-251652096;mso-position-horizontal-relative:text;mso-position-vertical-relative:text;mso-width-relative:page;mso-height-relative:page">
            <v:imagedata r:id="rId8" o:title=""/>
          </v:shape>
          <o:OLEObject Type="Embed" ProgID="Excel.Sheet.12" ShapeID="_x0000_s1077" DrawAspect="Content" ObjectID="_1759731252"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FD4D1C" w:rsidP="003926A7">
      <w:pPr>
        <w:tabs>
          <w:tab w:val="right" w:pos="9360"/>
        </w:tabs>
      </w:pPr>
      <w:r>
        <w:rPr>
          <w:noProof/>
        </w:rPr>
        <w:lastRenderedPageBreak/>
        <w:object w:dxaOrig="1440" w:dyaOrig="1440" w14:anchorId="58913841">
          <v:shape id="_x0000_s1056" type="#_x0000_t75" style="position:absolute;margin-left:-15.55pt;margin-top:13.85pt;width:484.85pt;height:518.6pt;z-index:-251655168;mso-position-horizontal-relative:text;mso-position-vertical-relative:text">
            <v:imagedata r:id="rId10" o:title=""/>
            <w10:wrap side="right"/>
          </v:shape>
          <o:OLEObject Type="Embed" ProgID="Excel.Sheet.12" ShapeID="_x0000_s1056" DrawAspect="Content" ObjectID="_1759731253" r:id="rId11"/>
        </w:object>
      </w:r>
      <w:r w:rsidR="003926A7">
        <w:tab/>
      </w:r>
    </w:p>
    <w:p w14:paraId="78C71164" w14:textId="77777777" w:rsidR="00215B92" w:rsidRDefault="001B1579" w:rsidP="003926A7">
      <w:pPr>
        <w:tabs>
          <w:tab w:val="left" w:pos="3380"/>
          <w:tab w:val="center" w:pos="4680"/>
          <w:tab w:val="right" w:pos="9360"/>
        </w:tabs>
      </w:pPr>
      <w:bookmarkStart w:id="1" w:name="_GoBack"/>
      <w:r>
        <w:tab/>
      </w:r>
      <w:r>
        <w:tab/>
      </w:r>
      <w:r w:rsidR="003926A7">
        <w:tab/>
      </w:r>
    </w:p>
    <w:bookmarkEnd w:id="1"/>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215B92"/>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FD4D1C" w:rsidP="00F90A31">
      <w:pPr>
        <w:tabs>
          <w:tab w:val="center" w:pos="4680"/>
        </w:tabs>
      </w:pPr>
      <w:r>
        <w:rPr>
          <w:noProof/>
        </w:rPr>
        <w:lastRenderedPageBreak/>
        <w:object w:dxaOrig="1440" w:dyaOrig="1440" w14:anchorId="5627ED0E">
          <v:shape id="_x0000_s1078" type="#_x0000_t75" style="position:absolute;margin-left:-22.15pt;margin-top:.35pt;width:596.9pt;height:669.8pt;z-index:-251651072;mso-position-horizontal-relative:text;mso-position-vertical-relative:text;mso-width-relative:page;mso-height-relative:page">
            <v:imagedata r:id="rId12" o:title=""/>
          </v:shape>
          <o:OLEObject Type="Embed" ProgID="Excel.Sheet.12" ShapeID="_x0000_s1078" DrawAspect="Content" ObjectID="_1759731254"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586D42FC" w:rsidR="00215B92" w:rsidRDefault="00FD4D1C" w:rsidP="00215B92">
      <w:pPr>
        <w:ind w:firstLine="708"/>
      </w:pPr>
      <w:r>
        <w:rPr>
          <w:noProof/>
        </w:rPr>
        <w:lastRenderedPageBreak/>
        <w:object w:dxaOrig="1440" w:dyaOrig="1440" w14:anchorId="54BE0AF3">
          <v:shape id="_x0000_s1071" type="#_x0000_t75" style="position:absolute;left:0;text-align:left;margin-left:-39.75pt;margin-top:28.4pt;width:552.65pt;height:604.6pt;z-index:251663360;mso-position-horizontal-relative:text;mso-position-vertical-relative:text">
            <v:imagedata r:id="rId14" o:title=""/>
            <w10:wrap side="right"/>
          </v:shape>
          <o:OLEObject Type="Embed" ProgID="Excel.Sheet.12" ShapeID="_x0000_s1071" DrawAspect="Content" ObjectID="_1759731255" r:id="rId15"/>
        </w:object>
      </w:r>
      <w:r w:rsidR="00F21F02">
        <w:t xml:space="preserve"> </w:t>
      </w:r>
    </w:p>
    <w:p w14:paraId="739824E7" w14:textId="59818236"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FD4D1C" w:rsidP="00215B92">
      <w:pPr>
        <w:ind w:firstLine="708"/>
      </w:pPr>
      <w:r>
        <w:rPr>
          <w:noProof/>
        </w:rPr>
        <w:lastRenderedPageBreak/>
        <w:object w:dxaOrig="1440" w:dyaOrig="1440" w14:anchorId="19B6F674">
          <v:shape id="_x0000_s1080" type="#_x0000_t75" style="position:absolute;left:0;text-align:left;margin-left:-50.25pt;margin-top:23.3pt;width:562.4pt;height:660.35pt;z-index:251667456;mso-position-horizontal-relative:text;mso-position-vertical-relative:text;mso-width-relative:page;mso-height-relative:page">
            <v:imagedata r:id="rId16" o:title=""/>
          </v:shape>
          <o:OLEObject Type="Embed" ProgID="Excel.Sheet.12" ShapeID="_x0000_s1080" DrawAspect="Content" ObjectID="_1759731256"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FD4D1C" w:rsidP="00215B92">
      <w:pPr>
        <w:ind w:firstLine="708"/>
      </w:pPr>
      <w:r>
        <w:rPr>
          <w:noProof/>
        </w:rPr>
        <w:lastRenderedPageBreak/>
        <w:object w:dxaOrig="1440" w:dyaOrig="1440" w14:anchorId="1B198261">
          <v:shape id="_x0000_s1064" type="#_x0000_t75" style="position:absolute;left:0;text-align:left;margin-left:-49.2pt;margin-top:19.2pt;width:549.85pt;height:636.05pt;z-index:251662336;mso-position-horizontal-relative:text;mso-position-vertical-relative:text">
            <v:imagedata r:id="rId18" o:title=""/>
            <w10:wrap side="right"/>
          </v:shape>
          <o:OLEObject Type="Embed" ProgID="Excel.Sheet.12" ShapeID="_x0000_s1064" DrawAspect="Content" ObjectID="_1759731257"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FD4D1C" w:rsidP="00215B92">
      <w:pPr>
        <w:ind w:firstLine="708"/>
      </w:pPr>
      <w:r>
        <w:rPr>
          <w:noProof/>
        </w:rPr>
        <w:lastRenderedPageBreak/>
        <w:object w:dxaOrig="1440" w:dyaOrig="1440" w14:anchorId="3CAB8C98">
          <v:shape id="_x0000_s1079" type="#_x0000_t75" style="position:absolute;left:0;text-align:left;margin-left:-58pt;margin-top:19.15pt;width:571.1pt;height:662.2pt;z-index:251666432;mso-position-horizontal-relative:text;mso-position-vertical-relative:text;mso-width-relative:page;mso-height-relative:page">
            <v:imagedata r:id="rId20" o:title=""/>
          </v:shape>
          <o:OLEObject Type="Embed" ProgID="Excel.Sheet.12" ShapeID="_x0000_s1079" DrawAspect="Content" ObjectID="_1759731258"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553F2606"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417051">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2452A300"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417051">
        <w:rPr>
          <w:rFonts w:ascii="Arial" w:hAnsi="Arial" w:cs="Arial"/>
          <w:sz w:val="18"/>
          <w:szCs w:val="18"/>
        </w:rPr>
        <w:t>4</w:t>
      </w:r>
      <w:r>
        <w:rPr>
          <w:rFonts w:ascii="Arial" w:hAnsi="Arial" w:cs="Arial"/>
          <w:sz w:val="18"/>
          <w:szCs w:val="18"/>
        </w:rPr>
        <w:t>,</w:t>
      </w:r>
      <w:r w:rsidR="00417051">
        <w:rPr>
          <w:rFonts w:ascii="Arial" w:hAnsi="Arial" w:cs="Arial"/>
          <w:sz w:val="18"/>
          <w:szCs w:val="18"/>
        </w:rPr>
        <w:t>498</w:t>
      </w:r>
      <w:r>
        <w:rPr>
          <w:rFonts w:ascii="Arial" w:hAnsi="Arial" w:cs="Arial"/>
          <w:sz w:val="18"/>
          <w:szCs w:val="18"/>
        </w:rPr>
        <w:t>,</w:t>
      </w:r>
      <w:r w:rsidR="00417051">
        <w:rPr>
          <w:rFonts w:ascii="Arial" w:hAnsi="Arial" w:cs="Arial"/>
          <w:sz w:val="18"/>
          <w:szCs w:val="18"/>
        </w:rPr>
        <w:t>357</w:t>
      </w:r>
      <w:r>
        <w:rPr>
          <w:rFonts w:ascii="Arial" w:hAnsi="Arial" w:cs="Arial"/>
          <w:sz w:val="18"/>
          <w:szCs w:val="18"/>
        </w:rPr>
        <w:t>,</w:t>
      </w:r>
      <w:r w:rsidR="00417051">
        <w:rPr>
          <w:rFonts w:ascii="Arial" w:hAnsi="Arial" w:cs="Arial"/>
          <w:sz w:val="18"/>
          <w:szCs w:val="18"/>
        </w:rPr>
        <w:t>592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17051">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AB7FCC">
        <w:rPr>
          <w:rFonts w:ascii="Arial" w:hAnsi="Arial" w:cs="Arial"/>
          <w:sz w:val="18"/>
          <w:szCs w:val="18"/>
        </w:rPr>
        <w:t>2,</w:t>
      </w:r>
      <w:r w:rsidR="00417051">
        <w:rPr>
          <w:rFonts w:ascii="Arial" w:hAnsi="Arial" w:cs="Arial"/>
          <w:sz w:val="18"/>
          <w:szCs w:val="18"/>
        </w:rPr>
        <w:t>720</w:t>
      </w:r>
      <w:r w:rsidR="00F3142D">
        <w:rPr>
          <w:rFonts w:ascii="Arial" w:hAnsi="Arial" w:cs="Arial"/>
          <w:sz w:val="18"/>
          <w:szCs w:val="18"/>
        </w:rPr>
        <w:t>,</w:t>
      </w:r>
      <w:r w:rsidR="00417051">
        <w:rPr>
          <w:rFonts w:ascii="Arial" w:hAnsi="Arial" w:cs="Arial"/>
          <w:sz w:val="18"/>
          <w:szCs w:val="18"/>
        </w:rPr>
        <w:t>129</w:t>
      </w:r>
      <w:r w:rsidR="00F3142D">
        <w:rPr>
          <w:rFonts w:ascii="Arial" w:hAnsi="Arial" w:cs="Arial"/>
          <w:sz w:val="18"/>
          <w:szCs w:val="18"/>
        </w:rPr>
        <w:t>,</w:t>
      </w:r>
      <w:r w:rsidR="00417051">
        <w:rPr>
          <w:rFonts w:ascii="Arial" w:hAnsi="Arial" w:cs="Arial"/>
          <w:sz w:val="18"/>
          <w:szCs w:val="18"/>
        </w:rPr>
        <w:t>595</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C83C12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417051">
        <w:rPr>
          <w:rFonts w:ascii="Arial" w:hAnsi="Arial" w:cs="Arial"/>
          <w:sz w:val="18"/>
          <w:szCs w:val="18"/>
        </w:rPr>
        <w:t>17</w:t>
      </w:r>
      <w:r w:rsidR="001340E0">
        <w:rPr>
          <w:rFonts w:ascii="Arial" w:hAnsi="Arial" w:cs="Arial"/>
          <w:sz w:val="18"/>
          <w:szCs w:val="18"/>
        </w:rPr>
        <w:t>,</w:t>
      </w:r>
      <w:r w:rsidR="00417051">
        <w:rPr>
          <w:rFonts w:ascii="Arial" w:hAnsi="Arial" w:cs="Arial"/>
          <w:sz w:val="18"/>
          <w:szCs w:val="18"/>
        </w:rPr>
        <w:t>794</w:t>
      </w:r>
      <w:r w:rsidR="001340E0">
        <w:rPr>
          <w:rFonts w:ascii="Arial" w:hAnsi="Arial" w:cs="Arial"/>
          <w:sz w:val="18"/>
          <w:szCs w:val="18"/>
        </w:rPr>
        <w:t>,</w:t>
      </w:r>
      <w:r w:rsidR="00417051">
        <w:rPr>
          <w:rFonts w:ascii="Arial" w:hAnsi="Arial" w:cs="Arial"/>
          <w:sz w:val="18"/>
          <w:szCs w:val="18"/>
        </w:rPr>
        <w:t>462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417051">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$2</w:t>
      </w:r>
      <w:r w:rsidR="00417051">
        <w:rPr>
          <w:rFonts w:ascii="Arial" w:hAnsi="Arial" w:cs="Arial"/>
          <w:sz w:val="18"/>
          <w:szCs w:val="18"/>
        </w:rPr>
        <w:t>1</w:t>
      </w:r>
      <w:r w:rsidR="003B710A">
        <w:rPr>
          <w:rFonts w:ascii="Arial" w:hAnsi="Arial" w:cs="Arial"/>
          <w:sz w:val="18"/>
          <w:szCs w:val="18"/>
        </w:rPr>
        <w:t>,</w:t>
      </w:r>
      <w:r w:rsidR="00417051">
        <w:rPr>
          <w:rFonts w:ascii="Arial" w:hAnsi="Arial" w:cs="Arial"/>
          <w:sz w:val="18"/>
          <w:szCs w:val="18"/>
        </w:rPr>
        <w:t>080</w:t>
      </w:r>
      <w:r w:rsidR="003B710A">
        <w:rPr>
          <w:rFonts w:ascii="Arial" w:hAnsi="Arial" w:cs="Arial"/>
          <w:sz w:val="18"/>
          <w:szCs w:val="18"/>
        </w:rPr>
        <w:t>,</w:t>
      </w:r>
      <w:r w:rsidR="00417051">
        <w:rPr>
          <w:rFonts w:ascii="Arial" w:hAnsi="Arial" w:cs="Arial"/>
          <w:sz w:val="18"/>
          <w:szCs w:val="18"/>
        </w:rPr>
        <w:t>750</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0F204198"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417051">
        <w:rPr>
          <w:rFonts w:ascii="Arial" w:hAnsi="Arial" w:cs="Arial"/>
          <w:sz w:val="18"/>
          <w:szCs w:val="18"/>
        </w:rPr>
        <w:t>tercer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417051">
        <w:rPr>
          <w:rFonts w:ascii="Arial" w:hAnsi="Arial" w:cs="Arial"/>
          <w:sz w:val="18"/>
          <w:szCs w:val="18"/>
        </w:rPr>
        <w:t>218</w:t>
      </w:r>
      <w:r w:rsidR="00D01486">
        <w:rPr>
          <w:rFonts w:ascii="Arial" w:hAnsi="Arial" w:cs="Arial"/>
          <w:sz w:val="18"/>
          <w:szCs w:val="18"/>
        </w:rPr>
        <w:t>,</w:t>
      </w:r>
      <w:r w:rsidR="00417051">
        <w:rPr>
          <w:rFonts w:ascii="Arial" w:hAnsi="Arial" w:cs="Arial"/>
          <w:sz w:val="18"/>
          <w:szCs w:val="18"/>
        </w:rPr>
        <w:t>742</w:t>
      </w:r>
      <w:r w:rsidR="00D01486">
        <w:rPr>
          <w:rFonts w:ascii="Arial" w:hAnsi="Arial" w:cs="Arial"/>
          <w:sz w:val="18"/>
          <w:szCs w:val="18"/>
        </w:rPr>
        <w:t>,</w:t>
      </w:r>
      <w:r w:rsidR="00417051">
        <w:rPr>
          <w:rFonts w:ascii="Arial" w:hAnsi="Arial" w:cs="Arial"/>
          <w:sz w:val="18"/>
          <w:szCs w:val="18"/>
        </w:rPr>
        <w:t>966</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5F58C866"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05A5587E"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w:t>
      </w:r>
      <w:r w:rsidR="00417051">
        <w:rPr>
          <w:rFonts w:ascii="Arial" w:hAnsi="Arial" w:cs="Arial"/>
          <w:sz w:val="18"/>
          <w:szCs w:val="18"/>
        </w:rPr>
        <w:t>90</w:t>
      </w:r>
      <w:r>
        <w:rPr>
          <w:rFonts w:ascii="Arial" w:hAnsi="Arial" w:cs="Arial"/>
          <w:sz w:val="18"/>
          <w:szCs w:val="18"/>
        </w:rPr>
        <w:t>,</w:t>
      </w:r>
      <w:r w:rsidR="00417051">
        <w:rPr>
          <w:rFonts w:ascii="Arial" w:hAnsi="Arial" w:cs="Arial"/>
          <w:sz w:val="18"/>
          <w:szCs w:val="18"/>
        </w:rPr>
        <w:t>131</w:t>
      </w:r>
      <w:r>
        <w:rPr>
          <w:rFonts w:ascii="Arial" w:hAnsi="Arial" w:cs="Arial"/>
          <w:sz w:val="18"/>
          <w:szCs w:val="18"/>
        </w:rPr>
        <w:t>,</w:t>
      </w:r>
      <w:r w:rsidR="00417051">
        <w:rPr>
          <w:rFonts w:ascii="Arial" w:hAnsi="Arial" w:cs="Arial"/>
          <w:sz w:val="18"/>
          <w:szCs w:val="18"/>
        </w:rPr>
        <w:t>363</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0FC9720C"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417051">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083D85">
        <w:rPr>
          <w:rFonts w:ascii="Arial" w:hAnsi="Arial" w:cs="Arial"/>
          <w:sz w:val="18"/>
          <w:szCs w:val="18"/>
        </w:rPr>
        <w:t>410</w:t>
      </w:r>
      <w:r>
        <w:rPr>
          <w:rFonts w:ascii="Arial" w:hAnsi="Arial" w:cs="Arial"/>
          <w:sz w:val="18"/>
          <w:szCs w:val="18"/>
        </w:rPr>
        <w:t>,</w:t>
      </w:r>
      <w:r w:rsidR="00083D85">
        <w:rPr>
          <w:rFonts w:ascii="Arial" w:hAnsi="Arial" w:cs="Arial"/>
          <w:sz w:val="18"/>
          <w:szCs w:val="18"/>
        </w:rPr>
        <w:t>912</w:t>
      </w:r>
      <w:r>
        <w:rPr>
          <w:rFonts w:ascii="Arial" w:hAnsi="Arial" w:cs="Arial"/>
          <w:sz w:val="18"/>
          <w:szCs w:val="18"/>
        </w:rPr>
        <w:t>,</w:t>
      </w:r>
      <w:r w:rsidR="00083D85">
        <w:rPr>
          <w:rFonts w:ascii="Arial" w:hAnsi="Arial" w:cs="Arial"/>
          <w:sz w:val="18"/>
          <w:szCs w:val="18"/>
        </w:rPr>
        <w:t>121</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083D85">
        <w:rPr>
          <w:rFonts w:ascii="Arial" w:hAnsi="Arial" w:cs="Arial"/>
          <w:sz w:val="18"/>
          <w:szCs w:val="18"/>
        </w:rPr>
        <w:t>de</w:t>
      </w:r>
      <w:r w:rsidR="003B710A">
        <w:rPr>
          <w:rFonts w:ascii="Arial" w:hAnsi="Arial" w:cs="Arial"/>
          <w:sz w:val="18"/>
          <w:szCs w:val="18"/>
        </w:rPr>
        <w:t>cremento</w:t>
      </w:r>
      <w:r w:rsidR="007D6C18">
        <w:rPr>
          <w:rFonts w:ascii="Arial" w:hAnsi="Arial" w:cs="Arial"/>
          <w:sz w:val="18"/>
          <w:szCs w:val="18"/>
        </w:rPr>
        <w:t xml:space="preserve"> del </w:t>
      </w:r>
      <w:r w:rsidR="00083D85">
        <w:rPr>
          <w:rFonts w:ascii="Arial" w:hAnsi="Arial" w:cs="Arial"/>
          <w:sz w:val="18"/>
          <w:szCs w:val="18"/>
        </w:rPr>
        <w:t>7</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59C363B0"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083D85">
        <w:rPr>
          <w:rFonts w:ascii="Arial" w:hAnsi="Arial" w:cs="Arial"/>
          <w:sz w:val="18"/>
          <w:szCs w:val="18"/>
        </w:rPr>
        <w:t>279</w:t>
      </w:r>
      <w:r w:rsidRPr="00F619D6">
        <w:rPr>
          <w:rFonts w:ascii="Arial" w:hAnsi="Arial" w:cs="Arial"/>
          <w:sz w:val="18"/>
          <w:szCs w:val="18"/>
        </w:rPr>
        <w:t>,</w:t>
      </w:r>
      <w:r w:rsidR="00083D85">
        <w:rPr>
          <w:rFonts w:ascii="Arial" w:hAnsi="Arial" w:cs="Arial"/>
          <w:sz w:val="18"/>
          <w:szCs w:val="18"/>
        </w:rPr>
        <w:t>846</w:t>
      </w:r>
      <w:r w:rsidRPr="00F619D6">
        <w:rPr>
          <w:rFonts w:ascii="Arial" w:hAnsi="Arial" w:cs="Arial"/>
          <w:sz w:val="18"/>
          <w:szCs w:val="18"/>
        </w:rPr>
        <w:t>,</w:t>
      </w:r>
      <w:r w:rsidR="00083D85">
        <w:rPr>
          <w:rFonts w:ascii="Arial" w:hAnsi="Arial" w:cs="Arial"/>
          <w:sz w:val="18"/>
          <w:szCs w:val="18"/>
        </w:rPr>
        <w:t>961</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 xml:space="preserve"> </w:t>
      </w:r>
      <w:r w:rsidR="00083D85">
        <w:rPr>
          <w:rFonts w:ascii="Arial" w:hAnsi="Arial" w:cs="Arial"/>
          <w:sz w:val="18"/>
          <w:szCs w:val="18"/>
        </w:rPr>
        <w:t>incremento</w:t>
      </w:r>
      <w:r w:rsidR="007D6C18">
        <w:rPr>
          <w:rFonts w:ascii="Arial" w:hAnsi="Arial" w:cs="Arial"/>
          <w:sz w:val="18"/>
          <w:szCs w:val="18"/>
        </w:rPr>
        <w:t xml:space="preserve"> del 1%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56A00118"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083D85">
        <w:rPr>
          <w:rFonts w:ascii="Arial" w:hAnsi="Arial" w:cs="Arial"/>
          <w:sz w:val="18"/>
          <w:szCs w:val="18"/>
        </w:rPr>
        <w:t>2</w:t>
      </w:r>
      <w:r w:rsidR="00B006FD">
        <w:rPr>
          <w:rFonts w:ascii="Arial" w:hAnsi="Arial" w:cs="Arial"/>
          <w:sz w:val="18"/>
          <w:szCs w:val="18"/>
        </w:rPr>
        <w:t>,</w:t>
      </w:r>
      <w:r w:rsidR="00083D85">
        <w:rPr>
          <w:rFonts w:ascii="Arial" w:hAnsi="Arial" w:cs="Arial"/>
          <w:sz w:val="18"/>
          <w:szCs w:val="18"/>
        </w:rPr>
        <w:t>736</w:t>
      </w:r>
      <w:r w:rsidR="00B006FD">
        <w:rPr>
          <w:rFonts w:ascii="Arial" w:hAnsi="Arial" w:cs="Arial"/>
          <w:sz w:val="18"/>
          <w:szCs w:val="18"/>
        </w:rPr>
        <w:t>,</w:t>
      </w:r>
      <w:r w:rsidR="00083D85">
        <w:rPr>
          <w:rFonts w:ascii="Arial" w:hAnsi="Arial" w:cs="Arial"/>
          <w:sz w:val="18"/>
          <w:szCs w:val="18"/>
        </w:rPr>
        <w:t>759</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083D85">
        <w:rPr>
          <w:rFonts w:ascii="Arial" w:hAnsi="Arial" w:cs="Arial"/>
          <w:sz w:val="18"/>
          <w:szCs w:val="18"/>
        </w:rPr>
        <w:t>1</w:t>
      </w:r>
      <w:r w:rsidR="007B3E3B">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527CF7C"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83D85">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113D41B5"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9657FF">
        <w:rPr>
          <w:rFonts w:ascii="Arial" w:hAnsi="Arial" w:cs="Arial"/>
          <w:sz w:val="18"/>
          <w:szCs w:val="18"/>
        </w:rPr>
        <w:t>158</w:t>
      </w:r>
      <w:r w:rsidR="00B006FD">
        <w:rPr>
          <w:rFonts w:ascii="Arial" w:hAnsi="Arial" w:cs="Arial"/>
          <w:sz w:val="18"/>
          <w:szCs w:val="18"/>
        </w:rPr>
        <w:t>,</w:t>
      </w:r>
      <w:r w:rsidR="009657FF">
        <w:rPr>
          <w:rFonts w:ascii="Arial" w:hAnsi="Arial" w:cs="Arial"/>
          <w:sz w:val="18"/>
          <w:szCs w:val="18"/>
        </w:rPr>
        <w:t>986</w:t>
      </w:r>
      <w:r w:rsidR="00B006FD">
        <w:rPr>
          <w:rFonts w:ascii="Arial" w:hAnsi="Arial" w:cs="Arial"/>
          <w:sz w:val="18"/>
          <w:szCs w:val="18"/>
        </w:rPr>
        <w:t>,</w:t>
      </w:r>
      <w:r w:rsidR="009657FF">
        <w:rPr>
          <w:rFonts w:ascii="Arial" w:hAnsi="Arial" w:cs="Arial"/>
          <w:sz w:val="18"/>
          <w:szCs w:val="18"/>
        </w:rPr>
        <w:t>813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w:t>
      </w:r>
      <w:r w:rsidR="009657FF">
        <w:rPr>
          <w:rFonts w:ascii="Arial" w:hAnsi="Arial" w:cs="Arial"/>
          <w:sz w:val="18"/>
          <w:szCs w:val="18"/>
        </w:rPr>
        <w:t>-</w:t>
      </w:r>
      <w:r w:rsidR="00B006FD" w:rsidRPr="001528B7">
        <w:rPr>
          <w:rFonts w:ascii="Arial" w:hAnsi="Arial" w:cs="Arial"/>
          <w:sz w:val="18"/>
          <w:szCs w:val="18"/>
        </w:rPr>
        <w:t>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48365A">
        <w:rPr>
          <w:rFonts w:ascii="Arial" w:hAnsi="Arial" w:cs="Arial"/>
          <w:sz w:val="18"/>
          <w:szCs w:val="18"/>
        </w:rPr>
        <w:t>31</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8A86B9E"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48365A">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48365A">
        <w:rPr>
          <w:rFonts w:ascii="Arial" w:hAnsi="Arial" w:cs="Arial"/>
          <w:sz w:val="18"/>
          <w:szCs w:val="18"/>
        </w:rPr>
        <w:t>21</w:t>
      </w:r>
      <w:r>
        <w:rPr>
          <w:rFonts w:ascii="Arial" w:hAnsi="Arial" w:cs="Arial"/>
          <w:sz w:val="18"/>
          <w:szCs w:val="18"/>
        </w:rPr>
        <w:t>,</w:t>
      </w:r>
      <w:r w:rsidR="0048365A">
        <w:rPr>
          <w:rFonts w:ascii="Arial" w:hAnsi="Arial" w:cs="Arial"/>
          <w:sz w:val="18"/>
          <w:szCs w:val="18"/>
        </w:rPr>
        <w:t>370</w:t>
      </w:r>
      <w:r>
        <w:rPr>
          <w:rFonts w:ascii="Arial" w:hAnsi="Arial" w:cs="Arial"/>
          <w:sz w:val="18"/>
          <w:szCs w:val="18"/>
        </w:rPr>
        <w:t>,</w:t>
      </w:r>
      <w:r w:rsidR="0048365A">
        <w:rPr>
          <w:rFonts w:ascii="Arial" w:hAnsi="Arial" w:cs="Arial"/>
          <w:sz w:val="18"/>
          <w:szCs w:val="18"/>
        </w:rPr>
        <w:t>600</w:t>
      </w:r>
      <w:r>
        <w:rPr>
          <w:rFonts w:ascii="Arial" w:hAnsi="Arial" w:cs="Arial"/>
          <w:sz w:val="18"/>
          <w:szCs w:val="18"/>
        </w:rPr>
        <w:t>,</w:t>
      </w:r>
      <w:r w:rsidR="0048365A">
        <w:rPr>
          <w:rFonts w:ascii="Arial" w:hAnsi="Arial" w:cs="Arial"/>
          <w:sz w:val="18"/>
          <w:szCs w:val="18"/>
        </w:rPr>
        <w:t>083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w:t>
      </w:r>
      <w:r w:rsidR="0048365A">
        <w:rPr>
          <w:rFonts w:ascii="Arial" w:hAnsi="Arial" w:cs="Arial"/>
          <w:sz w:val="18"/>
          <w:szCs w:val="18"/>
        </w:rPr>
        <w:t>7</w:t>
      </w:r>
      <w:r>
        <w:rPr>
          <w:rFonts w:ascii="Arial" w:hAnsi="Arial" w:cs="Arial"/>
          <w:sz w:val="18"/>
          <w:szCs w:val="18"/>
        </w:rPr>
        <w:t>,</w:t>
      </w:r>
      <w:r w:rsidR="0048365A">
        <w:rPr>
          <w:rFonts w:ascii="Arial" w:hAnsi="Arial" w:cs="Arial"/>
          <w:sz w:val="18"/>
          <w:szCs w:val="18"/>
        </w:rPr>
        <w:t>494</w:t>
      </w:r>
      <w:r>
        <w:rPr>
          <w:rFonts w:ascii="Arial" w:hAnsi="Arial" w:cs="Arial"/>
          <w:sz w:val="18"/>
          <w:szCs w:val="18"/>
        </w:rPr>
        <w:t>,</w:t>
      </w:r>
      <w:r w:rsidR="0048365A">
        <w:rPr>
          <w:rFonts w:ascii="Arial" w:hAnsi="Arial" w:cs="Arial"/>
          <w:sz w:val="18"/>
          <w:szCs w:val="18"/>
        </w:rPr>
        <w:t>890</w:t>
      </w:r>
      <w:r>
        <w:rPr>
          <w:rFonts w:ascii="Arial" w:hAnsi="Arial" w:cs="Arial"/>
          <w:sz w:val="18"/>
          <w:szCs w:val="18"/>
        </w:rPr>
        <w:t>,</w:t>
      </w:r>
      <w:r w:rsidR="0048365A">
        <w:rPr>
          <w:rFonts w:ascii="Arial" w:hAnsi="Arial" w:cs="Arial"/>
          <w:sz w:val="18"/>
          <w:szCs w:val="18"/>
        </w:rPr>
        <w:t>450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48365A">
        <w:rPr>
          <w:rFonts w:ascii="Arial" w:hAnsi="Arial" w:cs="Arial"/>
          <w:sz w:val="18"/>
          <w:szCs w:val="18"/>
        </w:rPr>
        <w:t>3</w:t>
      </w:r>
      <w:r w:rsidR="007F6AFD">
        <w:rPr>
          <w:rFonts w:ascii="Arial" w:hAnsi="Arial" w:cs="Arial"/>
          <w:sz w:val="18"/>
          <w:szCs w:val="18"/>
        </w:rPr>
        <w:t>,</w:t>
      </w:r>
      <w:r w:rsidR="0048365A">
        <w:rPr>
          <w:rFonts w:ascii="Arial" w:hAnsi="Arial" w:cs="Arial"/>
          <w:sz w:val="18"/>
          <w:szCs w:val="18"/>
        </w:rPr>
        <w:t>875</w:t>
      </w:r>
      <w:r>
        <w:rPr>
          <w:rFonts w:ascii="Arial" w:hAnsi="Arial" w:cs="Arial"/>
          <w:sz w:val="18"/>
          <w:szCs w:val="18"/>
        </w:rPr>
        <w:t>,</w:t>
      </w:r>
      <w:r w:rsidR="0048365A">
        <w:rPr>
          <w:rFonts w:ascii="Arial" w:hAnsi="Arial" w:cs="Arial"/>
          <w:sz w:val="18"/>
          <w:szCs w:val="18"/>
        </w:rPr>
        <w:t>709</w:t>
      </w:r>
      <w:r>
        <w:rPr>
          <w:rFonts w:ascii="Arial" w:hAnsi="Arial" w:cs="Arial"/>
          <w:sz w:val="18"/>
          <w:szCs w:val="18"/>
        </w:rPr>
        <w:t>,</w:t>
      </w:r>
      <w:r w:rsidR="0048365A">
        <w:rPr>
          <w:rFonts w:ascii="Arial" w:hAnsi="Arial" w:cs="Arial"/>
          <w:sz w:val="18"/>
          <w:szCs w:val="18"/>
        </w:rPr>
        <w:t>633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 xml:space="preserve">mayor en un </w:t>
      </w:r>
      <w:r w:rsidR="0048365A">
        <w:rPr>
          <w:rFonts w:ascii="Arial" w:hAnsi="Arial" w:cs="Arial"/>
          <w:sz w:val="18"/>
          <w:szCs w:val="18"/>
        </w:rPr>
        <w:t>9</w:t>
      </w:r>
      <w:r w:rsidR="00A634CF">
        <w:rPr>
          <w:rFonts w:ascii="Arial" w:hAnsi="Arial" w:cs="Arial"/>
          <w:sz w:val="18"/>
          <w:szCs w:val="18"/>
        </w:rPr>
        <w:t>2%</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371B3A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48365A">
        <w:rPr>
          <w:rFonts w:ascii="Arial" w:hAnsi="Arial" w:cs="Arial"/>
          <w:sz w:val="18"/>
          <w:szCs w:val="18"/>
        </w:rPr>
        <w:t>septiembre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48365A">
        <w:rPr>
          <w:rFonts w:ascii="Arial" w:hAnsi="Arial" w:cs="Arial"/>
          <w:sz w:val="18"/>
          <w:szCs w:val="18"/>
        </w:rPr>
        <w:t>643</w:t>
      </w:r>
      <w:r>
        <w:rPr>
          <w:rFonts w:ascii="Arial" w:hAnsi="Arial" w:cs="Arial"/>
          <w:sz w:val="18"/>
          <w:szCs w:val="18"/>
        </w:rPr>
        <w:t>,</w:t>
      </w:r>
      <w:r w:rsidR="0048365A">
        <w:rPr>
          <w:rFonts w:ascii="Arial" w:hAnsi="Arial" w:cs="Arial"/>
          <w:sz w:val="18"/>
          <w:szCs w:val="18"/>
        </w:rPr>
        <w:t>513</w:t>
      </w:r>
      <w:r>
        <w:rPr>
          <w:rFonts w:ascii="Arial" w:hAnsi="Arial" w:cs="Arial"/>
          <w:sz w:val="18"/>
          <w:szCs w:val="18"/>
        </w:rPr>
        <w:t>,</w:t>
      </w:r>
      <w:r w:rsidR="0048365A">
        <w:rPr>
          <w:rFonts w:ascii="Arial" w:hAnsi="Arial" w:cs="Arial"/>
          <w:sz w:val="18"/>
          <w:szCs w:val="18"/>
        </w:rPr>
        <w:t>799</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48365A">
        <w:rPr>
          <w:rFonts w:ascii="Arial" w:hAnsi="Arial" w:cs="Arial"/>
          <w:sz w:val="18"/>
          <w:szCs w:val="18"/>
        </w:rPr>
        <w:t>576</w:t>
      </w:r>
      <w:r w:rsidR="00E004F0">
        <w:rPr>
          <w:rFonts w:ascii="Arial" w:hAnsi="Arial" w:cs="Arial"/>
          <w:sz w:val="18"/>
          <w:szCs w:val="18"/>
        </w:rPr>
        <w:t>,</w:t>
      </w:r>
      <w:r w:rsidR="0048365A">
        <w:rPr>
          <w:rFonts w:ascii="Arial" w:hAnsi="Arial" w:cs="Arial"/>
          <w:sz w:val="18"/>
          <w:szCs w:val="18"/>
        </w:rPr>
        <w:t>658</w:t>
      </w:r>
      <w:r w:rsidR="00AB0983">
        <w:rPr>
          <w:rFonts w:ascii="Arial" w:hAnsi="Arial" w:cs="Arial"/>
          <w:sz w:val="18"/>
          <w:szCs w:val="18"/>
        </w:rPr>
        <w:t>,</w:t>
      </w:r>
      <w:r w:rsidR="0048365A">
        <w:rPr>
          <w:rFonts w:ascii="Arial" w:hAnsi="Arial" w:cs="Arial"/>
          <w:sz w:val="18"/>
          <w:szCs w:val="18"/>
        </w:rPr>
        <w:t>425</w:t>
      </w:r>
      <w:r>
        <w:rPr>
          <w:rFonts w:ascii="Arial" w:hAnsi="Arial" w:cs="Arial"/>
          <w:sz w:val="18"/>
          <w:szCs w:val="18"/>
        </w:rPr>
        <w:t>; sobre la Producción, el Consumo y las transacciones por un importe de $</w:t>
      </w:r>
      <w:r w:rsidR="0048365A">
        <w:rPr>
          <w:rFonts w:ascii="Arial" w:hAnsi="Arial" w:cs="Arial"/>
          <w:sz w:val="18"/>
          <w:szCs w:val="18"/>
        </w:rPr>
        <w:t>38</w:t>
      </w:r>
      <w:r>
        <w:rPr>
          <w:rFonts w:ascii="Arial" w:hAnsi="Arial" w:cs="Arial"/>
          <w:sz w:val="18"/>
          <w:szCs w:val="18"/>
        </w:rPr>
        <w:t>,</w:t>
      </w:r>
      <w:r w:rsidR="0048365A">
        <w:rPr>
          <w:rFonts w:ascii="Arial" w:hAnsi="Arial" w:cs="Arial"/>
          <w:sz w:val="18"/>
          <w:szCs w:val="18"/>
        </w:rPr>
        <w:t>458</w:t>
      </w:r>
      <w:r>
        <w:rPr>
          <w:rFonts w:ascii="Arial" w:hAnsi="Arial" w:cs="Arial"/>
          <w:sz w:val="18"/>
          <w:szCs w:val="18"/>
        </w:rPr>
        <w:t>,</w:t>
      </w:r>
      <w:r w:rsidR="0048365A">
        <w:rPr>
          <w:rFonts w:ascii="Arial" w:hAnsi="Arial" w:cs="Arial"/>
          <w:sz w:val="18"/>
          <w:szCs w:val="18"/>
        </w:rPr>
        <w:t>930</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48365A">
        <w:rPr>
          <w:rFonts w:ascii="Arial" w:hAnsi="Arial" w:cs="Arial"/>
          <w:sz w:val="18"/>
          <w:szCs w:val="18"/>
        </w:rPr>
        <w:t>7</w:t>
      </w:r>
      <w:r>
        <w:rPr>
          <w:rFonts w:ascii="Arial" w:hAnsi="Arial" w:cs="Arial"/>
          <w:sz w:val="18"/>
          <w:szCs w:val="18"/>
        </w:rPr>
        <w:t>,</w:t>
      </w:r>
      <w:r w:rsidR="0048365A">
        <w:rPr>
          <w:rFonts w:ascii="Arial" w:hAnsi="Arial" w:cs="Arial"/>
          <w:sz w:val="18"/>
          <w:szCs w:val="18"/>
        </w:rPr>
        <w:t>046</w:t>
      </w:r>
      <w:r>
        <w:rPr>
          <w:rFonts w:ascii="Arial" w:hAnsi="Arial" w:cs="Arial"/>
          <w:sz w:val="18"/>
          <w:szCs w:val="18"/>
        </w:rPr>
        <w:t>,</w:t>
      </w:r>
      <w:r w:rsidR="0048365A">
        <w:rPr>
          <w:rFonts w:ascii="Arial" w:hAnsi="Arial" w:cs="Arial"/>
          <w:sz w:val="18"/>
          <w:szCs w:val="18"/>
        </w:rPr>
        <w:t>224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48365A">
        <w:rPr>
          <w:rFonts w:ascii="Arial" w:hAnsi="Arial" w:cs="Arial"/>
          <w:sz w:val="18"/>
          <w:szCs w:val="18"/>
        </w:rPr>
        <w:t>14</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6F188D1"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8365A">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48365A">
        <w:rPr>
          <w:rFonts w:ascii="Arial" w:hAnsi="Arial" w:cs="Arial"/>
          <w:sz w:val="18"/>
          <w:szCs w:val="18"/>
        </w:rPr>
        <w:t>566</w:t>
      </w:r>
      <w:r>
        <w:rPr>
          <w:rFonts w:ascii="Arial" w:hAnsi="Arial" w:cs="Arial"/>
          <w:sz w:val="18"/>
          <w:szCs w:val="18"/>
        </w:rPr>
        <w:t>,</w:t>
      </w:r>
      <w:r w:rsidR="0048365A">
        <w:rPr>
          <w:rFonts w:ascii="Arial" w:hAnsi="Arial" w:cs="Arial"/>
          <w:sz w:val="18"/>
          <w:szCs w:val="18"/>
        </w:rPr>
        <w:t>402</w:t>
      </w:r>
      <w:r>
        <w:rPr>
          <w:rFonts w:ascii="Arial" w:hAnsi="Arial" w:cs="Arial"/>
          <w:sz w:val="18"/>
          <w:szCs w:val="18"/>
        </w:rPr>
        <w:t>,</w:t>
      </w:r>
      <w:r w:rsidR="0048365A">
        <w:rPr>
          <w:rFonts w:ascii="Arial" w:hAnsi="Arial" w:cs="Arial"/>
          <w:sz w:val="18"/>
          <w:szCs w:val="18"/>
        </w:rPr>
        <w:t>141</w:t>
      </w:r>
      <w:r w:rsidRPr="0073056A">
        <w:rPr>
          <w:rFonts w:ascii="Arial" w:hAnsi="Arial" w:cs="Arial"/>
          <w:sz w:val="18"/>
          <w:szCs w:val="18"/>
        </w:rPr>
        <w:t>.</w:t>
      </w:r>
      <w:r w:rsidR="00304672">
        <w:rPr>
          <w:rFonts w:ascii="Arial" w:hAnsi="Arial" w:cs="Arial"/>
          <w:sz w:val="18"/>
          <w:szCs w:val="18"/>
        </w:rPr>
        <w:t xml:space="preserve"> Mostrando un </w:t>
      </w:r>
      <w:r w:rsidR="0048365A">
        <w:rPr>
          <w:rFonts w:ascii="Arial" w:hAnsi="Arial" w:cs="Arial"/>
          <w:sz w:val="18"/>
          <w:szCs w:val="18"/>
        </w:rPr>
        <w:t>in</w:t>
      </w:r>
      <w:r w:rsidR="00304672">
        <w:rPr>
          <w:rFonts w:ascii="Arial" w:hAnsi="Arial" w:cs="Arial"/>
          <w:sz w:val="18"/>
          <w:szCs w:val="18"/>
        </w:rPr>
        <w:t xml:space="preserve">cremento del </w:t>
      </w:r>
      <w:r w:rsidR="0048365A">
        <w:rPr>
          <w:rFonts w:ascii="Arial" w:hAnsi="Arial" w:cs="Arial"/>
          <w:sz w:val="18"/>
          <w:szCs w:val="18"/>
        </w:rPr>
        <w:t>8</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3D6E217"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48365A">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48365A">
        <w:rPr>
          <w:rFonts w:ascii="Arial" w:hAnsi="Arial" w:cs="Arial"/>
          <w:sz w:val="18"/>
          <w:szCs w:val="18"/>
        </w:rPr>
        <w:t>229</w:t>
      </w:r>
      <w:r w:rsidRPr="00502DDD">
        <w:rPr>
          <w:rFonts w:ascii="Arial" w:hAnsi="Arial" w:cs="Arial"/>
          <w:sz w:val="18"/>
          <w:szCs w:val="18"/>
        </w:rPr>
        <w:t>,</w:t>
      </w:r>
      <w:r w:rsidR="0048365A">
        <w:rPr>
          <w:rFonts w:ascii="Arial" w:hAnsi="Arial" w:cs="Arial"/>
          <w:sz w:val="18"/>
          <w:szCs w:val="18"/>
        </w:rPr>
        <w:t>015</w:t>
      </w:r>
      <w:r w:rsidRPr="00502DDD">
        <w:rPr>
          <w:rFonts w:ascii="Arial" w:hAnsi="Arial" w:cs="Arial"/>
          <w:sz w:val="18"/>
          <w:szCs w:val="18"/>
        </w:rPr>
        <w:t>,</w:t>
      </w:r>
      <w:r w:rsidR="0048365A">
        <w:rPr>
          <w:rFonts w:ascii="Arial" w:hAnsi="Arial" w:cs="Arial"/>
          <w:sz w:val="18"/>
          <w:szCs w:val="18"/>
        </w:rPr>
        <w:t>866</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14373E">
        <w:rPr>
          <w:rFonts w:ascii="Arial" w:hAnsi="Arial" w:cs="Arial"/>
          <w:sz w:val="18"/>
          <w:szCs w:val="18"/>
        </w:rPr>
        <w:t>2</w:t>
      </w:r>
      <w:r w:rsidR="0048365A">
        <w:rPr>
          <w:rFonts w:ascii="Arial" w:hAnsi="Arial" w:cs="Arial"/>
          <w:sz w:val="18"/>
          <w:szCs w:val="18"/>
        </w:rPr>
        <w:t>6</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6627F98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6650D">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06650D">
        <w:rPr>
          <w:rFonts w:ascii="Arial" w:hAnsi="Arial" w:cs="Arial"/>
          <w:sz w:val="18"/>
          <w:szCs w:val="18"/>
        </w:rPr>
        <w:t>7</w:t>
      </w:r>
      <w:r>
        <w:rPr>
          <w:rFonts w:ascii="Arial" w:hAnsi="Arial" w:cs="Arial"/>
          <w:sz w:val="18"/>
          <w:szCs w:val="18"/>
        </w:rPr>
        <w:t>,</w:t>
      </w:r>
      <w:r w:rsidR="0006650D">
        <w:rPr>
          <w:rFonts w:ascii="Arial" w:hAnsi="Arial" w:cs="Arial"/>
          <w:sz w:val="18"/>
          <w:szCs w:val="18"/>
        </w:rPr>
        <w:t>393</w:t>
      </w:r>
      <w:r w:rsidR="00363494">
        <w:rPr>
          <w:rFonts w:ascii="Arial" w:hAnsi="Arial" w:cs="Arial"/>
          <w:sz w:val="18"/>
          <w:szCs w:val="18"/>
        </w:rPr>
        <w:t>,</w:t>
      </w:r>
      <w:r w:rsidR="00830523">
        <w:rPr>
          <w:rFonts w:ascii="Arial" w:hAnsi="Arial" w:cs="Arial"/>
          <w:sz w:val="18"/>
          <w:szCs w:val="18"/>
        </w:rPr>
        <w:t>807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w:t>
      </w:r>
      <w:r w:rsidR="00830523">
        <w:rPr>
          <w:rFonts w:ascii="Arial" w:hAnsi="Arial" w:cs="Arial"/>
          <w:sz w:val="18"/>
          <w:szCs w:val="18"/>
        </w:rPr>
        <w:t>5</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70F96627"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830523">
        <w:rPr>
          <w:rFonts w:ascii="Arial" w:hAnsi="Arial" w:cs="Arial"/>
          <w:sz w:val="18"/>
          <w:szCs w:val="18"/>
        </w:rPr>
        <w:t>11</w:t>
      </w:r>
      <w:r w:rsidR="001054F7">
        <w:rPr>
          <w:rFonts w:ascii="Arial" w:hAnsi="Arial" w:cs="Arial"/>
          <w:sz w:val="18"/>
          <w:szCs w:val="18"/>
        </w:rPr>
        <w:t>6</w:t>
      </w:r>
      <w:r>
        <w:rPr>
          <w:rFonts w:ascii="Arial" w:hAnsi="Arial" w:cs="Arial"/>
          <w:sz w:val="18"/>
          <w:szCs w:val="18"/>
        </w:rPr>
        <w:t>,</w:t>
      </w:r>
      <w:r w:rsidR="00830523">
        <w:rPr>
          <w:rFonts w:ascii="Arial" w:hAnsi="Arial" w:cs="Arial"/>
          <w:sz w:val="18"/>
          <w:szCs w:val="18"/>
        </w:rPr>
        <w:t>883</w:t>
      </w:r>
      <w:r>
        <w:rPr>
          <w:rFonts w:ascii="Arial" w:hAnsi="Arial" w:cs="Arial"/>
          <w:sz w:val="18"/>
          <w:szCs w:val="18"/>
        </w:rPr>
        <w:t>,</w:t>
      </w:r>
      <w:r w:rsidR="00830523">
        <w:rPr>
          <w:rFonts w:ascii="Arial" w:hAnsi="Arial" w:cs="Arial"/>
          <w:sz w:val="18"/>
          <w:szCs w:val="18"/>
        </w:rPr>
        <w:t>072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830523">
        <w:rPr>
          <w:rFonts w:ascii="Arial" w:hAnsi="Arial" w:cs="Arial"/>
          <w:sz w:val="18"/>
          <w:szCs w:val="18"/>
        </w:rPr>
        <w:t>6</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1E84DE7"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w:t>
      </w:r>
      <w:r w:rsidR="00D83A14">
        <w:rPr>
          <w:rFonts w:ascii="Arial" w:hAnsi="Arial" w:cs="Arial"/>
          <w:sz w:val="18"/>
          <w:szCs w:val="18"/>
        </w:rPr>
        <w:t>9</w:t>
      </w:r>
      <w:r>
        <w:rPr>
          <w:rFonts w:ascii="Arial" w:hAnsi="Arial" w:cs="Arial"/>
          <w:sz w:val="18"/>
          <w:szCs w:val="18"/>
        </w:rPr>
        <w:t>,</w:t>
      </w:r>
      <w:r w:rsidR="00D83A14">
        <w:rPr>
          <w:rFonts w:ascii="Arial" w:hAnsi="Arial" w:cs="Arial"/>
          <w:sz w:val="18"/>
          <w:szCs w:val="18"/>
        </w:rPr>
        <w:t>807</w:t>
      </w:r>
      <w:r>
        <w:rPr>
          <w:rFonts w:ascii="Arial" w:hAnsi="Arial" w:cs="Arial"/>
          <w:sz w:val="18"/>
          <w:szCs w:val="18"/>
        </w:rPr>
        <w:t>,</w:t>
      </w:r>
      <w:r w:rsidR="00D83A14">
        <w:rPr>
          <w:rFonts w:ascii="Arial" w:hAnsi="Arial" w:cs="Arial"/>
          <w:sz w:val="18"/>
          <w:szCs w:val="18"/>
        </w:rPr>
        <w:t>391</w:t>
      </w:r>
      <w:r>
        <w:rPr>
          <w:rFonts w:ascii="Arial" w:hAnsi="Arial" w:cs="Arial"/>
          <w:sz w:val="18"/>
          <w:szCs w:val="18"/>
        </w:rPr>
        <w:t>,</w:t>
      </w:r>
      <w:r w:rsidR="00D83A14">
        <w:rPr>
          <w:rFonts w:ascii="Arial" w:hAnsi="Arial" w:cs="Arial"/>
          <w:sz w:val="18"/>
          <w:szCs w:val="18"/>
        </w:rPr>
        <w:t>398</w:t>
      </w:r>
      <w:r>
        <w:rPr>
          <w:rFonts w:ascii="Arial" w:hAnsi="Arial" w:cs="Arial"/>
          <w:sz w:val="18"/>
          <w:szCs w:val="18"/>
        </w:rPr>
        <w:t xml:space="preserve"> al mes de </w:t>
      </w:r>
      <w:r w:rsidR="00D83A14">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D83A14">
        <w:rPr>
          <w:rFonts w:ascii="Arial" w:hAnsi="Arial" w:cs="Arial"/>
          <w:sz w:val="18"/>
          <w:szCs w:val="18"/>
        </w:rPr>
        <w:t>17</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009813B3"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0674ED">
        <w:rPr>
          <w:rFonts w:ascii="Arial" w:hAnsi="Arial" w:cs="Arial"/>
          <w:sz w:val="18"/>
          <w:szCs w:val="18"/>
        </w:rPr>
        <w:t>9</w:t>
      </w:r>
      <w:r>
        <w:rPr>
          <w:rFonts w:ascii="Arial" w:hAnsi="Arial" w:cs="Arial"/>
          <w:sz w:val="18"/>
          <w:szCs w:val="18"/>
        </w:rPr>
        <w:t>,</w:t>
      </w:r>
      <w:r w:rsidR="000674ED">
        <w:rPr>
          <w:rFonts w:ascii="Arial" w:hAnsi="Arial" w:cs="Arial"/>
          <w:sz w:val="18"/>
          <w:szCs w:val="18"/>
        </w:rPr>
        <w:t>226</w:t>
      </w:r>
      <w:r>
        <w:rPr>
          <w:rFonts w:ascii="Arial" w:hAnsi="Arial" w:cs="Arial"/>
          <w:sz w:val="18"/>
          <w:szCs w:val="18"/>
        </w:rPr>
        <w:t>,</w:t>
      </w:r>
      <w:r w:rsidR="001054F7">
        <w:rPr>
          <w:rFonts w:ascii="Arial" w:hAnsi="Arial" w:cs="Arial"/>
          <w:sz w:val="18"/>
          <w:szCs w:val="18"/>
        </w:rPr>
        <w:t>3</w:t>
      </w:r>
      <w:r w:rsidR="000674ED">
        <w:rPr>
          <w:rFonts w:ascii="Arial" w:hAnsi="Arial" w:cs="Arial"/>
          <w:sz w:val="18"/>
          <w:szCs w:val="18"/>
        </w:rPr>
        <w:t>67</w:t>
      </w:r>
      <w:r>
        <w:rPr>
          <w:rFonts w:ascii="Arial" w:hAnsi="Arial" w:cs="Arial"/>
          <w:sz w:val="18"/>
          <w:szCs w:val="18"/>
        </w:rPr>
        <w:t>,</w:t>
      </w:r>
      <w:r w:rsidR="000674ED">
        <w:rPr>
          <w:rFonts w:ascii="Arial" w:hAnsi="Arial" w:cs="Arial"/>
          <w:sz w:val="18"/>
          <w:szCs w:val="18"/>
        </w:rPr>
        <w:t>857</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77DC96BA" w:rsidR="00AE0E84" w:rsidRPr="0004135F" w:rsidRDefault="000674E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w:t>
            </w:r>
            <w:r w:rsidR="0058137B">
              <w:rPr>
                <w:rFonts w:eastAsia="Times New Roman" w:cstheme="minorHAnsi"/>
                <w:color w:val="000000"/>
                <w:sz w:val="20"/>
                <w:szCs w:val="18"/>
                <w:lang w:eastAsia="es-MX"/>
              </w:rPr>
              <w:t>,</w:t>
            </w:r>
            <w:r>
              <w:rPr>
                <w:rFonts w:eastAsia="Times New Roman" w:cstheme="minorHAnsi"/>
                <w:color w:val="000000"/>
                <w:sz w:val="20"/>
                <w:szCs w:val="18"/>
                <w:lang w:eastAsia="es-MX"/>
              </w:rPr>
              <w:t>764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969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451</w:t>
            </w:r>
          </w:p>
        </w:tc>
        <w:tc>
          <w:tcPr>
            <w:tcW w:w="1214" w:type="dxa"/>
            <w:tcBorders>
              <w:top w:val="nil"/>
              <w:left w:val="nil"/>
              <w:bottom w:val="single" w:sz="8" w:space="0" w:color="auto"/>
              <w:right w:val="single" w:sz="8" w:space="0" w:color="auto"/>
            </w:tcBorders>
            <w:shd w:val="clear" w:color="auto" w:fill="auto"/>
            <w:noWrap/>
            <w:vAlign w:val="center"/>
          </w:tcPr>
          <w:p w14:paraId="6E3D10BF" w14:textId="57E63E00"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43</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4D024D8C"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0674ED">
              <w:rPr>
                <w:rFonts w:eastAsia="Times New Roman" w:cstheme="minorHAnsi"/>
                <w:color w:val="000000"/>
                <w:sz w:val="20"/>
                <w:szCs w:val="18"/>
                <w:lang w:eastAsia="es-MX"/>
              </w:rPr>
              <w:t>577</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944</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824</w:t>
            </w:r>
          </w:p>
        </w:tc>
        <w:tc>
          <w:tcPr>
            <w:tcW w:w="1214" w:type="dxa"/>
            <w:tcBorders>
              <w:top w:val="nil"/>
              <w:left w:val="nil"/>
              <w:bottom w:val="single" w:sz="8" w:space="0" w:color="auto"/>
              <w:right w:val="single" w:sz="8" w:space="0" w:color="auto"/>
            </w:tcBorders>
            <w:shd w:val="clear" w:color="auto" w:fill="auto"/>
            <w:noWrap/>
            <w:vAlign w:val="center"/>
          </w:tcPr>
          <w:p w14:paraId="279F69EC" w14:textId="67B9A847"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66AAA52E"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127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815</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525B053B"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927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763</w:t>
            </w:r>
          </w:p>
        </w:tc>
        <w:tc>
          <w:tcPr>
            <w:tcW w:w="1214" w:type="dxa"/>
            <w:tcBorders>
              <w:top w:val="nil"/>
              <w:left w:val="nil"/>
              <w:bottom w:val="single" w:sz="8" w:space="0" w:color="auto"/>
              <w:right w:val="single" w:sz="8" w:space="0" w:color="auto"/>
            </w:tcBorders>
            <w:shd w:val="clear" w:color="auto" w:fill="auto"/>
            <w:noWrap/>
            <w:vAlign w:val="center"/>
          </w:tcPr>
          <w:p w14:paraId="7F8B696D" w14:textId="44B9D22F"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8113C8">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8113C8">
              <w:rPr>
                <w:rFonts w:eastAsia="Times New Roman" w:cstheme="minorHAnsi"/>
                <w:color w:val="000000"/>
                <w:sz w:val="20"/>
                <w:szCs w:val="18"/>
                <w:lang w:eastAsia="es-MX"/>
              </w:rPr>
              <w:t>6</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4F93C66C"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898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671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240</w:t>
            </w:r>
          </w:p>
        </w:tc>
        <w:tc>
          <w:tcPr>
            <w:tcW w:w="1214" w:type="dxa"/>
            <w:tcBorders>
              <w:top w:val="nil"/>
              <w:left w:val="nil"/>
              <w:bottom w:val="single" w:sz="8" w:space="0" w:color="auto"/>
              <w:right w:val="single" w:sz="8" w:space="0" w:color="auto"/>
            </w:tcBorders>
            <w:shd w:val="clear" w:color="auto" w:fill="auto"/>
            <w:noWrap/>
            <w:vAlign w:val="center"/>
          </w:tcPr>
          <w:p w14:paraId="7186E41E" w14:textId="36BEF4E0"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8113C8">
              <w:rPr>
                <w:rFonts w:eastAsia="Times New Roman" w:cstheme="minorHAnsi"/>
                <w:color w:val="000000"/>
                <w:sz w:val="20"/>
                <w:szCs w:val="18"/>
                <w:lang w:eastAsia="es-MX"/>
              </w:rPr>
              <w:t>3</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366B5E8F" w:rsidR="00E828CB"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023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096</w:t>
            </w:r>
          </w:p>
        </w:tc>
        <w:tc>
          <w:tcPr>
            <w:tcW w:w="1214" w:type="dxa"/>
            <w:tcBorders>
              <w:top w:val="nil"/>
              <w:left w:val="nil"/>
              <w:bottom w:val="single" w:sz="8" w:space="0" w:color="auto"/>
              <w:right w:val="single" w:sz="8" w:space="0" w:color="auto"/>
            </w:tcBorders>
            <w:shd w:val="clear" w:color="auto" w:fill="auto"/>
            <w:noWrap/>
            <w:vAlign w:val="center"/>
          </w:tcPr>
          <w:p w14:paraId="173E7ADB" w14:textId="2F9F4209" w:rsidR="00E828CB"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5.8</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169174B9"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116</w:t>
            </w:r>
          </w:p>
        </w:tc>
        <w:tc>
          <w:tcPr>
            <w:tcW w:w="1214" w:type="dxa"/>
            <w:tcBorders>
              <w:top w:val="nil"/>
              <w:left w:val="nil"/>
              <w:bottom w:val="single" w:sz="8" w:space="0" w:color="auto"/>
              <w:right w:val="single" w:sz="8" w:space="0" w:color="auto"/>
            </w:tcBorders>
            <w:shd w:val="clear" w:color="auto" w:fill="auto"/>
            <w:noWrap/>
            <w:vAlign w:val="center"/>
          </w:tcPr>
          <w:p w14:paraId="6C945F4F" w14:textId="3DE9FB5D"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w:t>
            </w:r>
            <w:r w:rsidR="008113C8">
              <w:rPr>
                <w:rFonts w:eastAsia="Times New Roman" w:cstheme="minorHAnsi"/>
                <w:color w:val="000000"/>
                <w:sz w:val="20"/>
                <w:szCs w:val="18"/>
                <w:lang w:eastAsia="es-MX"/>
              </w:rPr>
              <w:t>4</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A6C5C40"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702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17762D7A"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0674ED">
              <w:rPr>
                <w:rFonts w:eastAsia="Times New Roman" w:cstheme="minorHAnsi"/>
                <w:color w:val="000000"/>
                <w:sz w:val="20"/>
                <w:szCs w:val="18"/>
                <w:lang w:eastAsia="es-MX"/>
              </w:rPr>
              <w:t>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w:t>
            </w:r>
            <w:r w:rsidR="000674ED">
              <w:rPr>
                <w:rFonts w:eastAsia="Times New Roman" w:cstheme="minorHAnsi"/>
                <w:color w:val="000000"/>
                <w:sz w:val="20"/>
                <w:szCs w:val="18"/>
                <w:lang w:eastAsia="es-MX"/>
              </w:rPr>
              <w:t>22</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253</w:t>
            </w:r>
          </w:p>
        </w:tc>
        <w:tc>
          <w:tcPr>
            <w:tcW w:w="1214" w:type="dxa"/>
            <w:tcBorders>
              <w:top w:val="nil"/>
              <w:left w:val="nil"/>
              <w:bottom w:val="single" w:sz="8" w:space="0" w:color="auto"/>
              <w:right w:val="single" w:sz="8" w:space="0" w:color="auto"/>
            </w:tcBorders>
            <w:shd w:val="clear" w:color="auto" w:fill="auto"/>
            <w:noWrap/>
            <w:vAlign w:val="center"/>
          </w:tcPr>
          <w:p w14:paraId="73AE023E" w14:textId="47F99A02"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11E965A7"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673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937</w:t>
            </w:r>
          </w:p>
        </w:tc>
        <w:tc>
          <w:tcPr>
            <w:tcW w:w="1214" w:type="dxa"/>
            <w:tcBorders>
              <w:top w:val="nil"/>
              <w:left w:val="nil"/>
              <w:bottom w:val="single" w:sz="8" w:space="0" w:color="auto"/>
              <w:right w:val="single" w:sz="8" w:space="0" w:color="auto"/>
            </w:tcBorders>
            <w:shd w:val="clear" w:color="auto" w:fill="auto"/>
            <w:noWrap/>
            <w:vAlign w:val="center"/>
          </w:tcPr>
          <w:p w14:paraId="2DD88D54" w14:textId="6AF17B26"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42F5895"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0674ED">
              <w:rPr>
                <w:rFonts w:eastAsia="Times New Roman" w:cstheme="minorHAnsi"/>
                <w:color w:val="000000"/>
                <w:sz w:val="20"/>
                <w:szCs w:val="18"/>
                <w:lang w:eastAsia="es-MX"/>
              </w:rPr>
              <w:t>8</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749</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423</w:t>
            </w:r>
            <w:r w:rsidR="00AE0E84" w:rsidRPr="0004135F">
              <w:rPr>
                <w:rFonts w:eastAsia="Times New Roman" w:cstheme="minorHAnsi"/>
                <w:color w:val="000000"/>
                <w:sz w:val="20"/>
                <w:szCs w:val="18"/>
                <w:lang w:eastAsia="es-MX"/>
              </w:rPr>
              <w:t>,</w:t>
            </w:r>
            <w:r w:rsidR="000674ED">
              <w:rPr>
                <w:rFonts w:eastAsia="Times New Roman" w:cstheme="minorHAnsi"/>
                <w:color w:val="000000"/>
                <w:sz w:val="20"/>
                <w:szCs w:val="18"/>
                <w:lang w:eastAsia="es-MX"/>
              </w:rPr>
              <w:t>994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4D84117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2D3E68">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w:t>
      </w:r>
      <w:r w:rsidR="002D3E68">
        <w:rPr>
          <w:rFonts w:ascii="Arial" w:hAnsi="Arial" w:cs="Arial"/>
          <w:sz w:val="18"/>
          <w:szCs w:val="18"/>
        </w:rPr>
        <w:t>831</w:t>
      </w:r>
      <w:r w:rsidR="0098545B">
        <w:rPr>
          <w:rFonts w:ascii="Arial" w:hAnsi="Arial" w:cs="Arial"/>
          <w:sz w:val="18"/>
          <w:szCs w:val="18"/>
        </w:rPr>
        <w:t>,</w:t>
      </w:r>
      <w:r w:rsidR="002D3E68">
        <w:rPr>
          <w:rFonts w:ascii="Arial" w:hAnsi="Arial" w:cs="Arial"/>
          <w:sz w:val="18"/>
          <w:szCs w:val="18"/>
        </w:rPr>
        <w:t>599</w:t>
      </w:r>
      <w:r w:rsidR="0098545B">
        <w:rPr>
          <w:rFonts w:ascii="Arial" w:hAnsi="Arial" w:cs="Arial"/>
          <w:sz w:val="18"/>
          <w:szCs w:val="18"/>
        </w:rPr>
        <w:t>,</w:t>
      </w:r>
      <w:r w:rsidR="002D3E68">
        <w:rPr>
          <w:rFonts w:ascii="Arial" w:hAnsi="Arial" w:cs="Arial"/>
          <w:sz w:val="18"/>
          <w:szCs w:val="18"/>
        </w:rPr>
        <w:t>547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40A7795A"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2D3E68">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D3E68">
        <w:rPr>
          <w:rFonts w:ascii="Arial" w:hAnsi="Arial" w:cs="Arial"/>
          <w:sz w:val="18"/>
          <w:szCs w:val="18"/>
        </w:rPr>
        <w:t>septiembre</w:t>
      </w:r>
      <w:r w:rsidR="00134F21">
        <w:rPr>
          <w:rFonts w:ascii="Arial" w:hAnsi="Arial" w:cs="Arial"/>
          <w:sz w:val="18"/>
          <w:szCs w:val="18"/>
        </w:rPr>
        <w:t xml:space="preserve"> por este concepto un monto de $</w:t>
      </w:r>
      <w:r w:rsidR="002D3E68">
        <w:rPr>
          <w:rFonts w:ascii="Arial" w:hAnsi="Arial" w:cs="Arial"/>
          <w:sz w:val="18"/>
          <w:szCs w:val="18"/>
        </w:rPr>
        <w:t>2</w:t>
      </w:r>
      <w:r w:rsidR="009E71C0">
        <w:rPr>
          <w:rFonts w:ascii="Arial" w:hAnsi="Arial" w:cs="Arial"/>
          <w:sz w:val="18"/>
          <w:szCs w:val="18"/>
        </w:rPr>
        <w:t>,</w:t>
      </w:r>
      <w:r w:rsidR="002D3E68">
        <w:rPr>
          <w:rFonts w:ascii="Arial" w:hAnsi="Arial" w:cs="Arial"/>
          <w:sz w:val="18"/>
          <w:szCs w:val="18"/>
        </w:rPr>
        <w:t>15</w:t>
      </w:r>
      <w:r w:rsidR="009E71C0">
        <w:rPr>
          <w:rFonts w:ascii="Arial" w:hAnsi="Arial" w:cs="Arial"/>
          <w:sz w:val="18"/>
          <w:szCs w:val="18"/>
        </w:rPr>
        <w:t>6</w:t>
      </w:r>
      <w:r w:rsidR="00134F21">
        <w:rPr>
          <w:rFonts w:ascii="Arial" w:hAnsi="Arial" w:cs="Arial"/>
          <w:sz w:val="18"/>
          <w:szCs w:val="18"/>
        </w:rPr>
        <w:t>,</w:t>
      </w:r>
      <w:r w:rsidR="002D3E68">
        <w:rPr>
          <w:rFonts w:ascii="Arial" w:hAnsi="Arial" w:cs="Arial"/>
          <w:sz w:val="18"/>
          <w:szCs w:val="18"/>
        </w:rPr>
        <w:t>776</w:t>
      </w:r>
      <w:r w:rsidR="00134F21">
        <w:rPr>
          <w:rFonts w:ascii="Arial" w:hAnsi="Arial" w:cs="Arial"/>
          <w:sz w:val="18"/>
          <w:szCs w:val="18"/>
        </w:rPr>
        <w:t>,</w:t>
      </w:r>
      <w:r w:rsidR="009E71C0">
        <w:rPr>
          <w:rFonts w:ascii="Arial" w:hAnsi="Arial" w:cs="Arial"/>
          <w:sz w:val="18"/>
          <w:szCs w:val="18"/>
        </w:rPr>
        <w:t>9</w:t>
      </w:r>
      <w:r w:rsidR="002D3E68">
        <w:rPr>
          <w:rFonts w:ascii="Arial" w:hAnsi="Arial" w:cs="Arial"/>
          <w:sz w:val="18"/>
          <w:szCs w:val="18"/>
        </w:rPr>
        <w:t>13</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2D3E68">
        <w:rPr>
          <w:rFonts w:ascii="Arial" w:hAnsi="Arial" w:cs="Arial"/>
          <w:sz w:val="18"/>
          <w:szCs w:val="18"/>
        </w:rPr>
        <w:t>25</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2644D56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2D3E68">
        <w:rPr>
          <w:rFonts w:ascii="Arial" w:hAnsi="Arial" w:cs="Arial"/>
          <w:sz w:val="18"/>
          <w:szCs w:val="18"/>
        </w:rPr>
        <w:t>2</w:t>
      </w:r>
      <w:r w:rsidR="009E71C0">
        <w:rPr>
          <w:rFonts w:ascii="Arial" w:hAnsi="Arial" w:cs="Arial"/>
          <w:sz w:val="18"/>
          <w:szCs w:val="18"/>
        </w:rPr>
        <w:t>66</w:t>
      </w:r>
      <w:r>
        <w:rPr>
          <w:rFonts w:ascii="Arial" w:hAnsi="Arial" w:cs="Arial"/>
          <w:sz w:val="18"/>
          <w:szCs w:val="18"/>
        </w:rPr>
        <w:t>,</w:t>
      </w:r>
      <w:r w:rsidR="002D3E68">
        <w:rPr>
          <w:rFonts w:ascii="Arial" w:hAnsi="Arial" w:cs="Arial"/>
          <w:sz w:val="18"/>
          <w:szCs w:val="18"/>
        </w:rPr>
        <w:t>2</w:t>
      </w:r>
      <w:r w:rsidR="009E71C0">
        <w:rPr>
          <w:rFonts w:ascii="Arial" w:hAnsi="Arial" w:cs="Arial"/>
          <w:sz w:val="18"/>
          <w:szCs w:val="18"/>
        </w:rPr>
        <w:t>9</w:t>
      </w:r>
      <w:r w:rsidR="002D3E68">
        <w:rPr>
          <w:rFonts w:ascii="Arial" w:hAnsi="Arial" w:cs="Arial"/>
          <w:sz w:val="18"/>
          <w:szCs w:val="18"/>
        </w:rPr>
        <w:t>5</w:t>
      </w:r>
      <w:r>
        <w:rPr>
          <w:rFonts w:ascii="Arial" w:hAnsi="Arial" w:cs="Arial"/>
          <w:sz w:val="18"/>
          <w:szCs w:val="18"/>
        </w:rPr>
        <w:t>,</w:t>
      </w:r>
      <w:r w:rsidR="002D3E68">
        <w:rPr>
          <w:rFonts w:ascii="Arial" w:hAnsi="Arial" w:cs="Arial"/>
          <w:sz w:val="18"/>
          <w:szCs w:val="18"/>
        </w:rPr>
        <w:t>086</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62EA26D3"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2D3E68">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2D3E68">
        <w:rPr>
          <w:rFonts w:ascii="Arial" w:hAnsi="Arial" w:cs="Arial"/>
          <w:sz w:val="18"/>
          <w:szCs w:val="18"/>
        </w:rPr>
        <w:t>237</w:t>
      </w:r>
      <w:r w:rsidR="009E71C0">
        <w:rPr>
          <w:rFonts w:ascii="Arial" w:hAnsi="Arial" w:cs="Arial"/>
          <w:sz w:val="18"/>
          <w:szCs w:val="18"/>
        </w:rPr>
        <w:t>,</w:t>
      </w:r>
      <w:r w:rsidR="002D3E68">
        <w:rPr>
          <w:rFonts w:ascii="Arial" w:hAnsi="Arial" w:cs="Arial"/>
          <w:sz w:val="18"/>
          <w:szCs w:val="18"/>
        </w:rPr>
        <w:t>511</w:t>
      </w:r>
      <w:r w:rsidR="00BA3B1D">
        <w:rPr>
          <w:rFonts w:ascii="Arial" w:hAnsi="Arial" w:cs="Arial"/>
          <w:sz w:val="18"/>
          <w:szCs w:val="18"/>
        </w:rPr>
        <w:t>,</w:t>
      </w:r>
      <w:r w:rsidR="002D3E68">
        <w:rPr>
          <w:rFonts w:ascii="Arial" w:hAnsi="Arial" w:cs="Arial"/>
          <w:sz w:val="18"/>
          <w:szCs w:val="18"/>
        </w:rPr>
        <w:t>415</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2D3E68">
        <w:rPr>
          <w:rFonts w:ascii="Arial" w:hAnsi="Arial" w:cs="Arial"/>
          <w:sz w:val="18"/>
          <w:szCs w:val="18"/>
        </w:rPr>
        <w:t>53</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2F128A25"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2D3E68">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2D3E68">
        <w:rPr>
          <w:rFonts w:ascii="Arial" w:hAnsi="Arial" w:cs="Arial"/>
          <w:sz w:val="18"/>
          <w:szCs w:val="18"/>
        </w:rPr>
        <w:t>10</w:t>
      </w:r>
      <w:r w:rsidR="001A78A4">
        <w:rPr>
          <w:rFonts w:ascii="Arial" w:hAnsi="Arial" w:cs="Arial"/>
          <w:sz w:val="18"/>
          <w:szCs w:val="18"/>
        </w:rPr>
        <w:t>,</w:t>
      </w:r>
      <w:r w:rsidR="009E71C0">
        <w:rPr>
          <w:rFonts w:ascii="Arial" w:hAnsi="Arial" w:cs="Arial"/>
          <w:sz w:val="18"/>
          <w:szCs w:val="18"/>
        </w:rPr>
        <w:t>7</w:t>
      </w:r>
      <w:r w:rsidR="002D3E68">
        <w:rPr>
          <w:rFonts w:ascii="Arial" w:hAnsi="Arial" w:cs="Arial"/>
          <w:sz w:val="18"/>
          <w:szCs w:val="18"/>
        </w:rPr>
        <w:t>24</w:t>
      </w:r>
      <w:r>
        <w:rPr>
          <w:rFonts w:ascii="Arial" w:hAnsi="Arial" w:cs="Arial"/>
          <w:sz w:val="18"/>
          <w:szCs w:val="18"/>
        </w:rPr>
        <w:t>,</w:t>
      </w:r>
      <w:r w:rsidR="002D3E68">
        <w:rPr>
          <w:rFonts w:ascii="Arial" w:hAnsi="Arial" w:cs="Arial"/>
          <w:sz w:val="18"/>
          <w:szCs w:val="18"/>
        </w:rPr>
        <w:t>824</w:t>
      </w:r>
      <w:r>
        <w:rPr>
          <w:rFonts w:ascii="Arial" w:hAnsi="Arial" w:cs="Arial"/>
          <w:sz w:val="18"/>
          <w:szCs w:val="18"/>
        </w:rPr>
        <w:t>,</w:t>
      </w:r>
      <w:r w:rsidR="002D3E68">
        <w:rPr>
          <w:rFonts w:ascii="Arial" w:hAnsi="Arial" w:cs="Arial"/>
          <w:sz w:val="18"/>
          <w:szCs w:val="18"/>
        </w:rPr>
        <w:t>172</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w:t>
      </w:r>
      <w:r w:rsidR="002D3E68">
        <w:rPr>
          <w:rFonts w:ascii="Arial" w:hAnsi="Arial" w:cs="Arial"/>
          <w:sz w:val="18"/>
          <w:szCs w:val="18"/>
        </w:rPr>
        <w:t>3</w:t>
      </w:r>
      <w:r>
        <w:rPr>
          <w:rFonts w:ascii="Arial" w:hAnsi="Arial" w:cs="Arial"/>
          <w:sz w:val="18"/>
          <w:szCs w:val="18"/>
        </w:rPr>
        <w:t xml:space="preserve">% y el sector salud con un </w:t>
      </w:r>
      <w:r w:rsidR="002D3E68">
        <w:rPr>
          <w:rFonts w:ascii="Arial" w:hAnsi="Arial" w:cs="Arial"/>
          <w:sz w:val="18"/>
          <w:szCs w:val="18"/>
        </w:rPr>
        <w:t>29</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3AB0998E"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A70B7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A70B74">
        <w:rPr>
          <w:rFonts w:ascii="Arial" w:hAnsi="Arial" w:cs="Arial"/>
          <w:sz w:val="18"/>
          <w:szCs w:val="18"/>
        </w:rPr>
        <w:t>3</w:t>
      </w:r>
      <w:r w:rsidR="00303EA9">
        <w:rPr>
          <w:rFonts w:ascii="Arial" w:hAnsi="Arial" w:cs="Arial"/>
          <w:sz w:val="18"/>
          <w:szCs w:val="18"/>
        </w:rPr>
        <w:t>,</w:t>
      </w:r>
      <w:r w:rsidR="00A70B74">
        <w:rPr>
          <w:rFonts w:ascii="Arial" w:hAnsi="Arial" w:cs="Arial"/>
          <w:sz w:val="18"/>
          <w:szCs w:val="18"/>
        </w:rPr>
        <w:t>875</w:t>
      </w:r>
      <w:r>
        <w:rPr>
          <w:rFonts w:ascii="Arial" w:hAnsi="Arial" w:cs="Arial"/>
          <w:sz w:val="18"/>
          <w:szCs w:val="18"/>
        </w:rPr>
        <w:t>,</w:t>
      </w:r>
      <w:r w:rsidR="00A70B74">
        <w:rPr>
          <w:rFonts w:ascii="Arial" w:hAnsi="Arial" w:cs="Arial"/>
          <w:sz w:val="18"/>
          <w:szCs w:val="18"/>
        </w:rPr>
        <w:t>709</w:t>
      </w:r>
      <w:r>
        <w:rPr>
          <w:rFonts w:ascii="Arial" w:hAnsi="Arial" w:cs="Arial"/>
          <w:sz w:val="18"/>
          <w:szCs w:val="18"/>
        </w:rPr>
        <w:t>,</w:t>
      </w:r>
      <w:r w:rsidR="00A70B74">
        <w:rPr>
          <w:rFonts w:ascii="Arial" w:hAnsi="Arial" w:cs="Arial"/>
          <w:sz w:val="18"/>
          <w:szCs w:val="18"/>
        </w:rPr>
        <w:t>633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A70B7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203EAE0A"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47A5F">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247A5F">
        <w:rPr>
          <w:rFonts w:ascii="Arial" w:hAnsi="Arial" w:cs="Arial"/>
          <w:sz w:val="18"/>
          <w:szCs w:val="18"/>
        </w:rPr>
        <w:t>3</w:t>
      </w:r>
      <w:r w:rsidR="008A4453">
        <w:rPr>
          <w:rFonts w:ascii="Arial" w:hAnsi="Arial" w:cs="Arial"/>
          <w:sz w:val="18"/>
          <w:szCs w:val="18"/>
        </w:rPr>
        <w:t>,</w:t>
      </w:r>
      <w:r w:rsidR="00247A5F">
        <w:rPr>
          <w:rFonts w:ascii="Arial" w:hAnsi="Arial" w:cs="Arial"/>
          <w:sz w:val="18"/>
          <w:szCs w:val="18"/>
        </w:rPr>
        <w:t>879</w:t>
      </w:r>
      <w:r>
        <w:rPr>
          <w:rFonts w:ascii="Arial" w:eastAsia="Times New Roman" w:hAnsi="Arial" w:cs="Arial"/>
          <w:bCs/>
          <w:sz w:val="18"/>
          <w:szCs w:val="18"/>
          <w:lang w:eastAsia="es-MX"/>
        </w:rPr>
        <w:t>,</w:t>
      </w:r>
      <w:r w:rsidR="00247A5F">
        <w:rPr>
          <w:rFonts w:ascii="Arial" w:eastAsia="Times New Roman" w:hAnsi="Arial" w:cs="Arial"/>
          <w:bCs/>
          <w:sz w:val="18"/>
          <w:szCs w:val="18"/>
          <w:lang w:eastAsia="es-MX"/>
        </w:rPr>
        <w:t>606</w:t>
      </w:r>
      <w:r>
        <w:rPr>
          <w:rFonts w:ascii="Arial" w:eastAsia="Times New Roman" w:hAnsi="Arial" w:cs="Arial"/>
          <w:bCs/>
          <w:sz w:val="18"/>
          <w:szCs w:val="18"/>
          <w:lang w:eastAsia="es-MX"/>
        </w:rPr>
        <w:t>,</w:t>
      </w:r>
      <w:r w:rsidR="00247A5F">
        <w:rPr>
          <w:rFonts w:ascii="Arial" w:eastAsia="Times New Roman" w:hAnsi="Arial" w:cs="Arial"/>
          <w:bCs/>
          <w:sz w:val="18"/>
          <w:szCs w:val="18"/>
          <w:lang w:eastAsia="es-MX"/>
        </w:rPr>
        <w:t>759</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79CACFF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F164F">
        <w:rPr>
          <w:lang w:val="es-MX"/>
        </w:rPr>
        <w:t>2,</w:t>
      </w:r>
      <w:r w:rsidR="00247A5F">
        <w:rPr>
          <w:lang w:val="es-MX"/>
        </w:rPr>
        <w:t>720</w:t>
      </w:r>
      <w:r w:rsidR="00AC2CB6">
        <w:rPr>
          <w:lang w:val="es-MX"/>
        </w:rPr>
        <w:t>,</w:t>
      </w:r>
      <w:r w:rsidR="00247A5F">
        <w:rPr>
          <w:lang w:val="es-MX"/>
        </w:rPr>
        <w:t>129</w:t>
      </w:r>
      <w:r w:rsidR="00AC2CB6">
        <w:rPr>
          <w:lang w:val="es-MX"/>
        </w:rPr>
        <w:t>,</w:t>
      </w:r>
      <w:r w:rsidR="00247A5F">
        <w:rPr>
          <w:lang w:val="es-MX"/>
        </w:rPr>
        <w:t>595</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21CF7461"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645997">
        <w:rPr>
          <w:lang w:val="es-MX"/>
        </w:rPr>
        <w:t>3</w:t>
      </w:r>
      <w:r w:rsidR="008F164F">
        <w:rPr>
          <w:lang w:val="es-MX"/>
        </w:rPr>
        <w:t>,</w:t>
      </w:r>
      <w:r w:rsidR="00645997">
        <w:rPr>
          <w:lang w:val="es-MX"/>
        </w:rPr>
        <w:t>875</w:t>
      </w:r>
      <w:r w:rsidR="008F5C9C">
        <w:rPr>
          <w:lang w:val="es-MX"/>
        </w:rPr>
        <w:t>,</w:t>
      </w:r>
      <w:r w:rsidR="00645997">
        <w:rPr>
          <w:lang w:val="es-MX"/>
        </w:rPr>
        <w:t>709</w:t>
      </w:r>
      <w:r>
        <w:rPr>
          <w:lang w:val="es-MX"/>
        </w:rPr>
        <w:t>,</w:t>
      </w:r>
      <w:r w:rsidR="00645997">
        <w:rPr>
          <w:lang w:val="es-MX"/>
        </w:rPr>
        <w:t>633</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1C072C90"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45997">
        <w:rPr>
          <w:lang w:val="es-MX"/>
        </w:rPr>
        <w:t>septiembre</w:t>
      </w:r>
      <w:r>
        <w:rPr>
          <w:lang w:val="es-MX"/>
        </w:rPr>
        <w:t xml:space="preserve"> un importe de </w:t>
      </w:r>
      <w:r w:rsidRPr="004466A7">
        <w:rPr>
          <w:lang w:val="es-MX"/>
        </w:rPr>
        <w:t>$</w:t>
      </w:r>
      <w:r w:rsidR="00645997">
        <w:rPr>
          <w:lang w:val="es-MX"/>
        </w:rPr>
        <w:t>-261</w:t>
      </w:r>
      <w:r>
        <w:rPr>
          <w:lang w:val="es-MX"/>
        </w:rPr>
        <w:t>,</w:t>
      </w:r>
      <w:r w:rsidR="00645997">
        <w:rPr>
          <w:lang w:val="es-MX"/>
        </w:rPr>
        <w:t>513</w:t>
      </w:r>
      <w:r>
        <w:rPr>
          <w:lang w:val="es-MX"/>
        </w:rPr>
        <w:t>,</w:t>
      </w:r>
      <w:r w:rsidR="00645997">
        <w:rPr>
          <w:lang w:val="es-MX"/>
        </w:rPr>
        <w:t>073</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36CD3953"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645997">
        <w:rPr>
          <w:lang w:val="es-MX"/>
        </w:rPr>
        <w:t>septiembre</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645997">
        <w:rPr>
          <w:lang w:val="es-MX"/>
        </w:rPr>
        <w:t>894</w:t>
      </w:r>
      <w:r w:rsidR="00A16DA6">
        <w:rPr>
          <w:lang w:val="es-MX"/>
        </w:rPr>
        <w:t>,</w:t>
      </w:r>
      <w:r w:rsidR="00645997">
        <w:rPr>
          <w:lang w:val="es-MX"/>
        </w:rPr>
        <w:t>066</w:t>
      </w:r>
      <w:r w:rsidR="00A16DA6">
        <w:rPr>
          <w:lang w:val="es-MX"/>
        </w:rPr>
        <w:t>,</w:t>
      </w:r>
      <w:r w:rsidR="008516F3">
        <w:rPr>
          <w:lang w:val="es-MX"/>
        </w:rPr>
        <w:t>9</w:t>
      </w:r>
      <w:r w:rsidR="00645997">
        <w:rPr>
          <w:lang w:val="es-MX"/>
        </w:rPr>
        <w:t>65</w:t>
      </w:r>
      <w:r w:rsidRPr="00DA18AC">
        <w:rPr>
          <w:lang w:val="es-MX"/>
        </w:rPr>
        <w:t>.</w:t>
      </w:r>
    </w:p>
    <w:p w14:paraId="0F635CBD" w14:textId="77777777" w:rsidR="005C02A4" w:rsidRDefault="00FD4D1C"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1081" type="#_x0000_t75" style="position:absolute;left:0;text-align:left;margin-left:-48.55pt;margin-top:12.7pt;width:576.7pt;height:592.05pt;z-index:251668480;mso-position-horizontal-relative:text;mso-position-vertical-relative:text;mso-width-relative:page;mso-height-relative:page">
            <v:imagedata r:id="rId22" o:title=""/>
          </v:shape>
          <o:OLEObject Type="Embed" ProgID="Excel.Sheet.12" ShapeID="_x0000_s1081" DrawAspect="Content" ObjectID="_1759731259"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FD4D1C" w:rsidP="006942ED">
      <w:pPr>
        <w:rPr>
          <w:lang w:eastAsia="es-ES"/>
        </w:rPr>
      </w:pPr>
      <w:r>
        <w:rPr>
          <w:noProof/>
          <w:szCs w:val="18"/>
          <w:lang w:val="es-ES" w:eastAsia="es-MX"/>
        </w:rPr>
        <w:object w:dxaOrig="1440" w:dyaOrig="1440" w14:anchorId="7CF3A5A1">
          <v:shape id="_x0000_s1046" type="#_x0000_t75" style="position:absolute;margin-left:-24.75pt;margin-top:24.9pt;width:512.35pt;height:482.3pt;z-index:251659264">
            <v:imagedata r:id="rId24" o:title=""/>
            <w10:wrap type="topAndBottom"/>
          </v:shape>
          <o:OLEObject Type="Embed" ProgID="Excel.Sheet.12" ShapeID="_x0000_s1046" DrawAspect="Content" ObjectID="_1759731260"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FD4D1C"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66.05pt;height:620.1pt;z-index:251660288">
            <v:imagedata r:id="rId26" o:title=""/>
            <w10:wrap type="topAndBottom"/>
          </v:shape>
          <o:OLEObject Type="Embed" ProgID="Excel.Sheet.12" ShapeID="_x0000_s1047" DrawAspect="Content" ObjectID="_1759731261"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49A327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891820">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BAE7844" w14:textId="77777777" w:rsidR="006F2F5C" w:rsidRPr="006F2F5C" w:rsidRDefault="006F2F5C" w:rsidP="006F2F5C">
      <w:pPr>
        <w:tabs>
          <w:tab w:val="left" w:pos="284"/>
        </w:tabs>
        <w:ind w:left="284"/>
        <w:jc w:val="both"/>
        <w:rPr>
          <w:rFonts w:ascii="Arial" w:hAnsi="Arial" w:cs="Arial"/>
          <w:sz w:val="18"/>
          <w:szCs w:val="18"/>
        </w:rPr>
      </w:pPr>
      <w:r w:rsidRPr="006F2F5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266D23A8" w14:textId="12FC64D1"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891820">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76BD98F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DDA7AB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2FC18F8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Durante el segundo trimestre del año, la actividad económica global mantuvo un ritmo de crecimiento positivo, a pesar de que continuaron los aumentos en las tasas de política monetaria en economías emergentes y avanzadas, así como el endurecimiento de los estándares crediticios y los conflictos geopolíticos. Este dinamismo provino principalmente de la fortaleza de los sectores de servicios y de la demanda interna de dichas economías, apoyadas por un buen desempeño de los mercados laborales, principalmente en economías avanzadas. Adicionalmente, las menores restricciones de oferta por una mayor normalización de las cadenas de suministro y menores costos de energéticos y materiales industriales permitieron elevar la oferta global de productos. </w:t>
      </w:r>
    </w:p>
    <w:p w14:paraId="0E489FD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Si bien lo anterior contribuyó a reducir las presiones en los precios respecto al trimestre previo y a mantener las expectativas de inflación ancladas, las tasas de inflación general continuaron por encima del nivel objetivo de la mayoría de los bancos centrales del mundo. Factores como la permanencia de una demanda laboral relativamente mayor a la oferta de mano de obra y la persistencia en la inflación de servicios y alimentos incidieron sobre los precios de las economías y validaron la necesidad de mantener, o incluso ajustar al alza, la postura monetaria restrictiva en los principales bancos centrales.</w:t>
      </w:r>
    </w:p>
    <w:p w14:paraId="72356EA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Ante este escenario, entre las economías más grandes se observaron señales mixtas en torno a su desempeño económico durante el segundo trimestre. El producto interno bruto (PIB) de Estados Unidos (EE.UU.) registró un crecimiento trimestral de 0.6% real, apoyado por el consumo privado en servicios, en línea con una mayor creación de empleo. Mientras tanto, la inversión en el sector residencial y no residencial presentó una ligera contribución positiva, a pesar de la persistencia de altas tasas de interés de largo plazo. </w:t>
      </w:r>
    </w:p>
    <w:p w14:paraId="5D09109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Con respecto a la zona euro, el estancamiento de la producción industrial y la debilidad en la confianza del consumidor restaron dinamismo a su economía, aún con menores precios del gas natural y los estímulos fiscales. De igual forma, la economía de China se desaceleró en el segundo trimestre a una tasa trimestral de 0.8% desde el 2.2% observado el trimestre previo; esto pese a que se esperaba un impulso mayor por la reapertura económica tras el fin de la política de tolerancia cero al COVID-19. Adicionalmente, la economía de China presentó una contracción en la inversión residencial, menores precios de vivienda y una alta tasa de desempleo en el sector poblacional de 16 a 24 años. </w:t>
      </w:r>
    </w:p>
    <w:p w14:paraId="74BBEE9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otra parte, los mercados financieros redujeron su aversión al riesgo en el segundo trimestre, aún en un entorno de incertidumbre atribuible a la tasa terminal de la FED y al contexto geopolítico. Así, el riesgo país hacia mercados emergentes, medido por el EMBI+, se redujo en 32 pb con respecto al cierre del trimestre previo, mientras que el índice MSCI, que mide el rendimiento de los mercados de valores de economías emergentes, disminuyó en 0.1% en el mismo periodo, principalmente por China; no obstante, con respecto a los mercados de América Latina, el crecimiento del MSCI fue de 11.2% en el mismo periodo. Asimismo, en el mercado cambiario, el dólar se apreció </w:t>
      </w:r>
      <w:r w:rsidRPr="00891820">
        <w:rPr>
          <w:rFonts w:ascii="Arial" w:hAnsi="Arial" w:cs="Arial"/>
          <w:sz w:val="18"/>
          <w:szCs w:val="18"/>
        </w:rPr>
        <w:lastRenderedPageBreak/>
        <w:t xml:space="preserve">en 0.4%, al tiempo que el índice de monedas emergentes (MSCI-EM) se depreció 0.9% entre los cierres del segundo y primer trimestre. </w:t>
      </w:r>
    </w:p>
    <w:p w14:paraId="2D3AD59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cuanto a la actividad económica de México, durante el segundo trimestre de 2023, su desempeño continuó fuerte, apoyado principalmente por la solidez de su demanda interna y, en menor medida, por una mayor contribución de las exportaciones manufactureras. Respecto al primer punto, destacaron los altos niveles de creación de empleo y el aumento en los salarios, factores que apoyaron el crecimiento del consumo privado y la demanda de importaciones. Asimismo, se observaron mayores volúmenes de inversión fija bruta en el marco de una alta demanda por maquinaria y equipo, inversión no residencial de espacios industriales y del avance de los proyectos de infraestructura del Gobierno Federal.</w:t>
      </w:r>
    </w:p>
    <w:p w14:paraId="1F5E5F5B"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respecto a los ingresos públicos, en la primera mitad de 2023 se observó un cambio en su composición que ya se anticipaba desde el inicio de año. Por un lado, los menores precios de los combustibles han favorecido la recaudación del impuesto especial sobre producción y servicios (IEPS) de combustibles. No obstante, la reducción de los precios del gas natural y los hidrocarburos en comparación con lo registrado en el primer semestre de 2022, así como la apreciación del peso con respecto al dólar estadounidense, se reflejaron en menores ingresos petroleros respecto al programa. No obstante, la recaudación tributaria se mantuvo sólida y mostró un crecimiento real anual de 4.1% en enero-junio, el más alto desde 2019 y superior al promedio anual observado de 2.9% en los últimos siete años. En particular, la recaudación del impuesto sobre la renta (ISR) contribuyó al crecimiento de los ingresos tributarios con 1.8 puntos. Este resultado reflejó tanto el buen desempeño del mercado laboral durante el periodo, incluidos los mayores niveles de la masa salarial, como los buenos resultados en materia de utilidades de las empresas.</w:t>
      </w:r>
    </w:p>
    <w:p w14:paraId="0BEB805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el lado del gasto público, el desempeño que se observó durante el primer semestre del año fue congruente con las metas establecidas en el Presupuesto de Egresos de la Federación, las cuales enfatizan la importancia de que éste contribuya al desarrollo económico y a la reducción de la pobreza y la desigualdad. En este marco, el gasto ejercido por el Gobierno Federal con impacto directo en la economía y el bienestar se incrementó en un 5.8% real anual respecto a lo observado en el primer semestre de 2022. Cabe destacar que, en el primer semestre de 2023, 66 centavos de cada peso de gasto ejercido se destinaron al desarrollo social. Además, se registró un aumento de 6.3% real anual respecto al mismo periodo del año previo, con lo cual el gasto en desarrollo social alcanzó un nivel de 5.8% del PIB. Este desempeño fue impulsado por incrementos de 14.1, 10.7 y 8.1% real anual en los rubros de vivienda, educación y protección social, respectivamente. Lo anterior da cuenta del compromiso del Gobierno de México por apoyar el desarrollo de los jóvenes y de mejorar las condiciones de vida de diversos grupos en situación de vulnerabilidad.</w:t>
      </w:r>
    </w:p>
    <w:p w14:paraId="0BF9C06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materia de deuda pública, durante el segundo trimestre del año se emprendieron acciones en beneficio de su sostenibilidad, además de mantener un portafolio diversificado, flexible y bajo en riesgos derivados de cambios en las condiciones financieras a nivel internacional. Las cifras observadas al cierre de junio apuntaron a una evolución ordenada de los principales indicadores de deuda. Particularmente, el Saldo Histórico de los Requerimientos Financieros del Sector Público (SHRFSP) se ubicó en 45.8% del PIB. Este resultado se compara favorablemente con la cifra observada en diciembre de 2022, donde se registró un nivel de 49.4% del PIB, y da cuenta de la responsabilidad en la conducción de la deuda pública por parte de esta administración. En cuanto a la participación en el mercado, la primera operación en el mercado interno se realizó el 20 de abril, la cual consistió en una subasta sindicada de una nueva referencia de 20 años a tasa real fija y cupón de 3.2% por un monto de 1.7 mil millones de </w:t>
      </w:r>
      <w:proofErr w:type="spellStart"/>
      <w:r w:rsidRPr="00891820">
        <w:rPr>
          <w:rFonts w:ascii="Arial" w:hAnsi="Arial" w:cs="Arial"/>
          <w:sz w:val="18"/>
          <w:szCs w:val="18"/>
        </w:rPr>
        <w:t>Udis</w:t>
      </w:r>
      <w:proofErr w:type="spellEnd"/>
      <w:r w:rsidRPr="00891820">
        <w:rPr>
          <w:rFonts w:ascii="Arial" w:hAnsi="Arial" w:cs="Arial"/>
          <w:sz w:val="18"/>
          <w:szCs w:val="18"/>
        </w:rPr>
        <w:t xml:space="preserve">. A esta operación se sumó una permuta de valores gubernamentales, celebrada el 21 de abril, donde se intercambiaron </w:t>
      </w:r>
      <w:proofErr w:type="spellStart"/>
      <w:r w:rsidRPr="00891820">
        <w:rPr>
          <w:rFonts w:ascii="Arial" w:hAnsi="Arial" w:cs="Arial"/>
          <w:sz w:val="18"/>
          <w:szCs w:val="18"/>
        </w:rPr>
        <w:t>Udibonos</w:t>
      </w:r>
      <w:proofErr w:type="spellEnd"/>
      <w:r w:rsidRPr="00891820">
        <w:rPr>
          <w:rFonts w:ascii="Arial" w:hAnsi="Arial" w:cs="Arial"/>
          <w:sz w:val="18"/>
          <w:szCs w:val="18"/>
        </w:rPr>
        <w:t xml:space="preserve"> con vencimientos entre 2023 y 2040 por la nueva referencia con vencimiento en 2043, por un monto de 3.2 mil millones de </w:t>
      </w:r>
      <w:proofErr w:type="spellStart"/>
      <w:r w:rsidRPr="00891820">
        <w:rPr>
          <w:rFonts w:ascii="Arial" w:hAnsi="Arial" w:cs="Arial"/>
          <w:sz w:val="18"/>
          <w:szCs w:val="18"/>
        </w:rPr>
        <w:t>Udis</w:t>
      </w:r>
      <w:proofErr w:type="spellEnd"/>
      <w:r w:rsidRPr="00891820">
        <w:rPr>
          <w:rFonts w:ascii="Arial" w:hAnsi="Arial" w:cs="Arial"/>
          <w:sz w:val="18"/>
          <w:szCs w:val="18"/>
        </w:rPr>
        <w:t>.</w:t>
      </w:r>
    </w:p>
    <w:p w14:paraId="03018CE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Los saldos de la deuda se mantuvieron en línea con los objetivos de la política fiscal. Al cierre de junio de 2023, el saldo de la deuda neta del Gobierno Federal se situó en 11 billones 919.0 mil millones de pesos. Específicamente, la deuda interna ascendió a 9 billones 926.3 mil millones de pesos, mientras que la deuda externa se ubicó en 116.7 mil millones de dólares. En relación con la deuda neta del Sector Público Federal, al cierre de junio de 2023 ésta se situó en 14 billones 189.4 mil millones de pesos. De forma desagregada, la deuda interna se ubicó en 10 billones 493.1 mil millones de pesos, mientras que la externa en 216.5 mil millones de dólares. Por último, el SHRFSP se posicionó en 14 billones 60.7 mil millones de pesos. Particularmente, el componente interno ascendió a 10 billones 400.6 mil millones de pesos, y el externo se ubicó en 214.4 mil millones de dólares.</w:t>
      </w:r>
    </w:p>
    <w:p w14:paraId="1E45CAD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 xml:space="preserve">Durante el segundo trimestre de 2023, la economía global mostró signos de fortaleza a pesar del apretamiento monetario y los conflictos geopolíticos. El buen desempeño del sector servicios y la sólida creación de empleo en economías avanzadas sorprendieron al alza y mejoraron las perspectivas de crecimiento durante el periodo, en un contexto de menores presiones inflacionarias debido a la normalización de las cadenas de suministro y a la disminución en precios de energéticos y materias primas. Si bien la inflación general descendió respecto al año pasado, ésta se mantuvo por encima de los objetivos de los bancos centrales debido al nivel y persistencia de la inflación subyacente, que continuó incidiendo sobre los precios de las economías avanzadas y emergentes. </w:t>
      </w:r>
    </w:p>
    <w:p w14:paraId="53B8134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La persistencia en las presiones inflacionarias, aunado con la fortaleza del mercado laboral, llevó a la FED en EE.UU. a revisar al alza sus pronósticos de tasa terminal el 14 de junio de un rango de 5.00-5.25 a 5.50-5.75%. Con ello, la FED dejó abierta la posibilidad de dos incrementos adicionales para las próximas reuniones, a pesar de la pausa temporal en el ciclo de alza de tasas del 14 de junio. Por su parte, el BCE aumentó su tasa oficial de refinanciamiento en las dos últimas reuniones del 4 de mayo y 15 de junio, ambas en 25 pb, hasta 4.0%, el nivel más alto en 15 años, sin descartar incrementos futuros en su tasa de interés. Lo anterior generó incertidumbre en los mercados financieros en torno al efecto acumulado de la política monetaria sobre la actividad económica. </w:t>
      </w:r>
    </w:p>
    <w:p w14:paraId="4FE31C0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otro lado, la divergencia fue más clara entre las principales economías del mundo. El crecimiento económico en EE.UU. se mantuvo sólido durante el segundo trimestre debido a la resiliencia del consumo privado en el sector servicios, mientras que las actividades ligadas al comercio exterior como las manufacturas mostraron un desempeño más moderado, lo que mejoró la posibilidad de un aterrizaje suave a pesar de la expectativa de mayores incrementos en la tasa de referencia. En cambio, en la zona euro, a pesar de los menores precios de energía, la producción industrial se mantuvo estancada y la confianza del consumidor continuó débil. Por su parte, la actividad económica en China fue menor a la previamente anticipada tras su reapertura, aunado a la contracción de su sector inmobiliario y la pérdida de dinamismo de su producción industrial, lo cual llevó a los analistas a reducir las perspectivas del comercio global.</w:t>
      </w:r>
    </w:p>
    <w:p w14:paraId="69C4C99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Durante el segundo trimestre de 2023, la actividad económica en EE.UU. mantuvo un crecimiento positivo a pesar del entorno de elevadas tasas de interés El PIB real, en su primera estimación, creció 0.6% en su variación trimestral, mayor al crecimiento observado en el primer trimestre de 0.5%, y por encima del consenso de analistas de Blue Chip, que en abril anticipaba un crecimiento nulo</w:t>
      </w:r>
      <w:proofErr w:type="gramStart"/>
      <w:r w:rsidRPr="00891820">
        <w:rPr>
          <w:rFonts w:ascii="Arial" w:hAnsi="Arial" w:cs="Arial"/>
          <w:sz w:val="18"/>
          <w:szCs w:val="18"/>
        </w:rPr>
        <w:t>1 .</w:t>
      </w:r>
      <w:proofErr w:type="gramEnd"/>
      <w:r w:rsidRPr="00891820">
        <w:rPr>
          <w:rFonts w:ascii="Arial" w:hAnsi="Arial" w:cs="Arial"/>
          <w:sz w:val="18"/>
          <w:szCs w:val="18"/>
        </w:rPr>
        <w:t xml:space="preserve"> Esta resiliencia en la actividad económica provino de la fortaleza en la demanda interna que contribuyó en 0.5 </w:t>
      </w:r>
      <w:proofErr w:type="spellStart"/>
      <w:r w:rsidRPr="00891820">
        <w:rPr>
          <w:rFonts w:ascii="Arial" w:hAnsi="Arial" w:cs="Arial"/>
          <w:sz w:val="18"/>
          <w:szCs w:val="18"/>
        </w:rPr>
        <w:t>pp</w:t>
      </w:r>
      <w:proofErr w:type="spellEnd"/>
      <w:r w:rsidRPr="00891820">
        <w:rPr>
          <w:rFonts w:ascii="Arial" w:hAnsi="Arial" w:cs="Arial"/>
          <w:sz w:val="18"/>
          <w:szCs w:val="18"/>
        </w:rPr>
        <w:t xml:space="preserve"> al crecimiento del segundo trimestre de 2023, en especial por el consumo privado en servicios y por los indicios de recuperación de la inversión no residencial y residencial —esta última a pesar de las altas tasas hipotecarias. Por su parte, la contribución del gasto de gobierno pasó de 0.2 a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lo cual refleja la continuación de las políticas y estímulos fiscales a la actividad industrial de EE.UU. Con respecto a los componentes más volátiles, la acumulación de inventarios tuvo una contribución prácticamente nula al crecimiento del PIB en el segundo trimestre tras la contribución negativa de 0.5 </w:t>
      </w:r>
      <w:proofErr w:type="spellStart"/>
      <w:r w:rsidRPr="00891820">
        <w:rPr>
          <w:rFonts w:ascii="Arial" w:hAnsi="Arial" w:cs="Arial"/>
          <w:sz w:val="18"/>
          <w:szCs w:val="18"/>
        </w:rPr>
        <w:t>pp</w:t>
      </w:r>
      <w:proofErr w:type="spellEnd"/>
      <w:r w:rsidRPr="00891820">
        <w:rPr>
          <w:rFonts w:ascii="Arial" w:hAnsi="Arial" w:cs="Arial"/>
          <w:sz w:val="18"/>
          <w:szCs w:val="18"/>
        </w:rPr>
        <w:t xml:space="preserve"> del trimestre previo; mientras que el rubro de exportaciones netas pasó de 0.1 a 0.0 </w:t>
      </w:r>
      <w:proofErr w:type="spellStart"/>
      <w:r w:rsidRPr="00891820">
        <w:rPr>
          <w:rFonts w:ascii="Arial" w:hAnsi="Arial" w:cs="Arial"/>
          <w:sz w:val="18"/>
          <w:szCs w:val="18"/>
        </w:rPr>
        <w:t>pp</w:t>
      </w:r>
      <w:proofErr w:type="spellEnd"/>
      <w:r w:rsidRPr="00891820">
        <w:rPr>
          <w:rFonts w:ascii="Arial" w:hAnsi="Arial" w:cs="Arial"/>
          <w:sz w:val="18"/>
          <w:szCs w:val="18"/>
        </w:rPr>
        <w:t>, entre el primer y segundo periodo, ante una mayor caída de las exportaciones con respecto a las importaciones, como reflejo de la desaceleración económica a nivel global.</w:t>
      </w:r>
    </w:p>
    <w:p w14:paraId="37D1642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Durante el segundo trimestre del año, indicadores oportunos y adelantados mostraron un débil desempeño en la actividad económica de la zona euro. El índice de confianza del consumidor elaborado por la Comisión Europea si bien se recuperó parcialmente entre abril y junio, continuó por debajo de los niveles pre-pandemia, situándose en -16.1 puntos, su mejor nivel desde febrero 2022, con respecto a los -19.1 puntos registrados en marzo. Lo anterior se reflejó en una caída real de las ventas minoristas en 0.2% en el bimestre de abril a mayo con respecto al bimestre anterior. Por otro lado, continuó la divergencia entre sectores dentro de la zona euro. El Índice de Gerentes de Compras (PMI) del sector servicios alcanzó seis meses continuos por encima del umbral mínimo de expansión, con 52 puntos en junio, asociado a la mayor actividad turística en países como España y la solidez del mercado laboral en la región. Mientras que el PMI del sector de manufacturas se mantuvo en zona de contracción debido a una disminución en las nuevas órdenes de producción, a pesar de los menores precios de gas natural y la normalización de las cadenas de suministro, con lo que registró 43.4 puntos en el mismo mes, su nivel más bajo desde mayo de 2020. Con base en las últimas cifras disponibles, la producción industrial de la eurozona (excluyendo a Irlanda por su volatilidad) registró un nulo crecimiento en el bimestre de abril a mayo de 2023 con respecto al bimestre inmediato anterior, con cifras ajustadas por estacionalidad, resultado de una menor producción en los sectores intensivos en energía como químicos, papel y metales básicos, así como maquinaria y equipo.</w:t>
      </w:r>
    </w:p>
    <w:p w14:paraId="4E234CB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la actividad económica en China mostró un menor ritmo de crecimiento conforme al esperado debido al débil desempeño de su producción industrial, la continua pérdida de dinamismo en el sector </w:t>
      </w:r>
      <w:r w:rsidRPr="00891820">
        <w:rPr>
          <w:rFonts w:ascii="Arial" w:hAnsi="Arial" w:cs="Arial"/>
          <w:sz w:val="18"/>
          <w:szCs w:val="18"/>
        </w:rPr>
        <w:lastRenderedPageBreak/>
        <w:t xml:space="preserve">residencial y las altas tasas de desempleo en la población más joven. Como resultado, el PIB registró un crecimiento de 0.8% a tasa trimestral, por debajo del 2.2% observado en el primer trimestre y del 1.5% anticipado por la mediana de Bloomberg al 3 de abril de 2023. Por lo anterior, las expectativas de crecimiento del comercio mundial se deterioraron debido a la relevancia de China en las cadenas globales de valor, contrario a lo esperado por el mercado que estimaba un mayor crecimiento económico tras la reapertura de su economía asociada a la relajación de su política de tolerancia cero al COVID-19. En específico, con base en las últimas cifras disponibles, la inversión fija bruta se contrajo 0.6% a tasa trimestral en el segundo trimestre, con cifras ajustadas por estacionalidad, debido a una debilidad significativa en el sector de la construcción residencial y no residencial; mientras que la producción industrial aumentó ligeramente en 0.8% trimestral, 0.2 </w:t>
      </w:r>
      <w:proofErr w:type="spellStart"/>
      <w:r w:rsidRPr="00891820">
        <w:rPr>
          <w:rFonts w:ascii="Arial" w:hAnsi="Arial" w:cs="Arial"/>
          <w:sz w:val="18"/>
          <w:szCs w:val="18"/>
        </w:rPr>
        <w:t>pp</w:t>
      </w:r>
      <w:proofErr w:type="spellEnd"/>
      <w:r w:rsidRPr="00891820">
        <w:rPr>
          <w:rFonts w:ascii="Arial" w:hAnsi="Arial" w:cs="Arial"/>
          <w:sz w:val="18"/>
          <w:szCs w:val="18"/>
        </w:rPr>
        <w:t xml:space="preserve"> mayor al trimestre previo, aunque muy por debajo de su promedio histórico de crecimiento. Así, en línea con una desaceleración a nivel mundial, se registró en junio una contracción anual nominal de las exportaciones de 13.1%, la peor caída desde febrero de 2020, y de las importaciones en 7.0%, con lo que sumó cuatro meses de caídas consecutivas. Aunado a ello, el mercado interno mostró un débil desempeño. Las ventas al menudeo se contrajeron 5.3% a tasa trimestral en el segundo trimestre, por debajo del -0.4% del trimestre anterior, mientras que la tasa de desempleo para el sector poblacional de 16 a 24 años se ubicó en 21.3% en junio, cifra superior al nivel observado entre 2018 y 2022. Por su parte, la inflación general anual y subyacente descendieron a una tasa anual de 0.0 y 0.4% en junio, respectivamente, no obstante, fue reflejo de una pérdida de dinamismo y ralentización económica. Como resultado, en junio, el Banco Popular de China redujo en 10 pb la tasa principal a un año a 3.55% y de cinco años a 4.20% por lo que mantuvo una política monetaria acomodaticia con el fin de reactivar la actividad económica del país.</w:t>
      </w:r>
    </w:p>
    <w:p w14:paraId="31393624"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los bancos centrales de economías avanzadas y emergentes moderaron los incrementos de sus tasas de referencia e incluso algunos optaron por mantenerla sin cambios durante el periodo. Sin embargo, en EE.UU., a pesar de la incertidumbre generada por la quiebra del tercer banco regional </w:t>
      </w:r>
      <w:proofErr w:type="spellStart"/>
      <w:r w:rsidRPr="00891820">
        <w:rPr>
          <w:rFonts w:ascii="Arial" w:hAnsi="Arial" w:cs="Arial"/>
          <w:sz w:val="18"/>
          <w:szCs w:val="18"/>
        </w:rPr>
        <w:t>First</w:t>
      </w:r>
      <w:proofErr w:type="spellEnd"/>
      <w:r w:rsidRPr="00891820">
        <w:rPr>
          <w:rFonts w:ascii="Arial" w:hAnsi="Arial" w:cs="Arial"/>
          <w:sz w:val="18"/>
          <w:szCs w:val="18"/>
        </w:rPr>
        <w:t xml:space="preserve"> </w:t>
      </w:r>
      <w:proofErr w:type="spellStart"/>
      <w:r w:rsidRPr="00891820">
        <w:rPr>
          <w:rFonts w:ascii="Arial" w:hAnsi="Arial" w:cs="Arial"/>
          <w:sz w:val="18"/>
          <w:szCs w:val="18"/>
        </w:rPr>
        <w:t>Republic</w:t>
      </w:r>
      <w:proofErr w:type="spellEnd"/>
      <w:r w:rsidRPr="00891820">
        <w:rPr>
          <w:rFonts w:ascii="Arial" w:hAnsi="Arial" w:cs="Arial"/>
          <w:sz w:val="18"/>
          <w:szCs w:val="18"/>
        </w:rPr>
        <w:t xml:space="preserve"> el 1 de mayo, las sorpresas positivas en los indicadores de empleo e inflación subyacente llevaron a la FED a revisar al alza el nivel de tasa terminal para 2023 de un rango de 5.00-5.25 a 5.50-5.75%, acompañado por un periodo prolongado de altas tasas de interés sin recortes durante el año, de acuerdo con las últimas proyecciones presentadas en junio.</w:t>
      </w:r>
    </w:p>
    <w:p w14:paraId="3E36599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el segundo trimestre de 2023, la economía mexicana continuó creciendo por arriba de periodos previos y de su promedio histórico. El crecimiento se explicó, principalmente, por el consumo privado, destacando las alzas de los bienes </w:t>
      </w:r>
      <w:proofErr w:type="spellStart"/>
      <w:r w:rsidRPr="00891820">
        <w:rPr>
          <w:rFonts w:ascii="Arial" w:hAnsi="Arial" w:cs="Arial"/>
          <w:sz w:val="18"/>
          <w:szCs w:val="18"/>
        </w:rPr>
        <w:t>semiduraderos</w:t>
      </w:r>
      <w:proofErr w:type="spellEnd"/>
      <w:r w:rsidRPr="00891820">
        <w:rPr>
          <w:rFonts w:ascii="Arial" w:hAnsi="Arial" w:cs="Arial"/>
          <w:sz w:val="18"/>
          <w:szCs w:val="18"/>
        </w:rPr>
        <w:t>, así como el aumento sostenido de los servicios. Por su parte, si bien la inversión fija bruta se contrajo por la construcción residencial, el componente de maquinaria y equipo, y de obra pública mantuvieron su tendencia al alza. Además, una parte del impulso a la actividad económica provino del aumento trimestral en las exportaciones manufactureras. Entre los elementos que contribuyeron al desempeño de la demanda interna, destacó la fortaleza del mercado laboral con incrementos en los salarios reales promedio del IMSS desde mayo de 2021. Asimismo, la apreciación de 5.4% trimestral del peso con respecto al dólar americano favoreció el consumo de bienes importados y contribuyó a menores presiones inflacionarias, sobre todo en el caso de las mercancías. Mientras que la confianza del consumidor alcanzó máximos históricos en junio, particularmente para la compra de bienes duraderos. En cuanto a la inversión fija bruta, destacó la alta demanda de espacios industriales, particularmente en el norte del país, así como la continua construcción de proyectos de infraestructura impulsados por la actual administración. Adicionalmente, el mayor avance hacia la normalización de las cadenas de suministro permitió una mayor oferta de insumos, lo cual se reflejó en la inversión de equipo de transporte, las ventas de automóviles y una menor inflación. Por el lado del sector externo, si bien el turismo comenzó a moderarse por la apreciación del peso respecto el dólar, otros elementos presentaron resultados positivos durante el segundo trimestre del año, como es el caso del flujo de remesas y la demanda externa por productos manufactureros de origen mexicano. En ese contexto, con información del Indicador Global de la Actividad Económica (IGAE), en el bimestre de abril a mayo de 2023 la economía creció 0.8% con cifras ajustadas por estacionalidad, con lo cual hiló diez bimestres de crecimiento consecutivo. Este desempeño fue mayor al aumento de los últimos tres bimestres y superior al incremento del promedio histórico de 2011 a 2019 (0.2%).</w:t>
      </w:r>
    </w:p>
    <w:p w14:paraId="36C22C3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cuanto al PIB por el lado del gasto, las últimas cifras actualizadas al primer trimestre de 2023 indicaron que la demanda agregada creció 1.8% trimestral, con cifras ajustadas por estacionalidad, lo cual fue el mayor aumento desde el segundo trimestre de 2022. Los mayores crecimientos se presentaron tanto en la inversión privada como la pública. La primera creció por undécimo mes al hilo en 3.3% trimestral, impulsada por el componente de maquinaria y equipo que ha consolidado su tendencia al alza. Por su parte, la contribución anual a la demanda agregada de la inversión pública fue la más alta desde 2014, a pesar de una reducción trimestral de 0.1%. Por otro lado, el consumo privado se incrementó 2.2% y acumuló 11 trimestres de alza continua, impulsado principalmente </w:t>
      </w:r>
      <w:r w:rsidRPr="00891820">
        <w:rPr>
          <w:rFonts w:ascii="Arial" w:hAnsi="Arial" w:cs="Arial"/>
          <w:sz w:val="18"/>
          <w:szCs w:val="18"/>
        </w:rPr>
        <w:lastRenderedPageBreak/>
        <w:t xml:space="preserve">por los servicios que crecieron 1.2% trimestral, por arriba de su promedio histórico de 2011 a 2019 (0.5%). En cuanto a las exportaciones, su alza de 0.6% trimestral obedeció al componente petrolero (8.9% trimestral). Mientras que las importaciones crecieron 4.5% trimestral, lo cual fue el alza más alta desde el segundo trimestre de 2022. Respecto a la demanda interna, con el dato más reciente de abril, el consumo privado interior creció 0.5% mensual. Este desempeño fue superior a su promedio histórico de 0.1% mensual, como resultado de la apreciación del tipo de cambio y las mejores condiciones laborales. En su interior, destacó el aumento de 9.8% mensual en el consumo de los bienes </w:t>
      </w:r>
      <w:proofErr w:type="spellStart"/>
      <w:r w:rsidRPr="00891820">
        <w:rPr>
          <w:rFonts w:ascii="Arial" w:hAnsi="Arial" w:cs="Arial"/>
          <w:sz w:val="18"/>
          <w:szCs w:val="18"/>
        </w:rPr>
        <w:t>semiduraderos</w:t>
      </w:r>
      <w:proofErr w:type="spellEnd"/>
      <w:r w:rsidRPr="00891820">
        <w:rPr>
          <w:rFonts w:ascii="Arial" w:hAnsi="Arial" w:cs="Arial"/>
          <w:sz w:val="18"/>
          <w:szCs w:val="18"/>
        </w:rPr>
        <w:t xml:space="preserve"> importados, que alcanzó su mayor incremento desde 2017; asimismo, el crecimiento de 2.4% mensual de los bienes duraderos nacionales fue positivo, luego de que los dos meses previos registraron retrocesos. En el caso de los servicios, estos registraron un crecimiento de 1.0% mensual, con lo que acumularon cinco meses de alzas continuas.</w:t>
      </w:r>
    </w:p>
    <w:p w14:paraId="3A08F7D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información de la ENOE, en el segundo trimestre de 2023, el mercado laboral continuó con un desempeño positivo. Por un lado, la población ocupada aumentó, en promedio, en 37 mil 935 personas respecto al trimestre anterior, con lo que acumuló cinco trimestres de alzas consecutivas. En su interior, la población ocupada del sector formal aumentó de 5 mil 390 personas respecto al trimestre previo, mientras que, en el sector informal, el número de personas ocupadas subió en 32 mil 545 respecto al trimestre anterior.</w:t>
      </w:r>
    </w:p>
    <w:p w14:paraId="1726FF97"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sectores económicos, el mayor dinamismo se concentró en las actividades terciarias, al registrar un crecimiento de 179 mil 137 personas respecto al trimestre previo. El comercio presentó el mejor desempeño al registrar un incremento de 109 mil 456 personas, seguido por los servicios profesionales (93 mil) y los servicios de restaurantes y servicios de alojamiento (77 mil). En cuanto a las actividades primarias, la población ocupada aumentó en 39 mil 562 personas respecto al trimestre anterior, con lo que rompió la racha de caídas trimestrales. En contraste, las actividades secundarias disminuyeron en 243 mil 870 personas, luego de que el trimestre previo la población ocupada aumentara en 259 mil 590 personas e hilara dos trimestres consecutivos al alza. </w:t>
      </w:r>
    </w:p>
    <w:p w14:paraId="6DEC4DB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Adicionalmente, se registró un buen desempeño de otros indicadores como la tasa de participación, la cual, en el promedio del segundo trimestre de 2023, se ubicó en 60.2%, y fue superior a su promedio histórico de 59.9%. Lo anterior obedeció a la prolongación de la tendencia al alza de la participación de las mujeres, impulsada por la flexibilidad de las condiciones laborales y los mejores ingresos debido a las reformas laborales implementadas por esta administración. Así, en el promedio del trimestre, la tasa de participación de las mujeres fue de 46.1%, lo cual fue un máximo para un mismo periodo. </w:t>
      </w:r>
    </w:p>
    <w:p w14:paraId="03B471D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Además, la tasa de informalidad laboral en el promedio del segundo trimestre se mantuvo sin cambios respecto al trimestre previo de 55.1%, a pesar del aumento de la población ocupada informal. Por otra parte, si bien la tasa de desocupación aumentó en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respecto al trimestre previo, ya que se ubicó en 2.8% promedio, ésta continuó con una tendencia a la baja desde 2005 cuando inició el levantamiento de la ENOE. </w:t>
      </w:r>
    </w:p>
    <w:p w14:paraId="2442679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el segundo trimestre de 2023, la población disponible se redujo en 132 mil personas respecto al trimestre previo. Además, en junio, la tasa de la población disponible con relación a la población económicamente no activa (PNEA), fue la más baja desde 2005. Por otra parte, si bien la población sub-ocupada aumentó en 484 mil 768 personas respecto al trimestre previo, esto obedeció principalmente a los trabajadores subordinados, mientras que los empleadores disminuyeron en 5 mil personas durante el trimestre.</w:t>
      </w:r>
    </w:p>
    <w:p w14:paraId="04B5EC3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información del IMSS, a junio de 2023 se registró un aumento de 514 mil 411 plazas, esta cifra fue la segunda más alta desde que iniciaron los registros en 1982. Con cifras ajustadas por estacionalidad</w:t>
      </w:r>
      <w:proofErr w:type="gramStart"/>
      <w:r w:rsidRPr="00891820">
        <w:rPr>
          <w:rFonts w:ascii="Arial" w:hAnsi="Arial" w:cs="Arial"/>
          <w:sz w:val="18"/>
          <w:szCs w:val="18"/>
        </w:rPr>
        <w:t>5 ,</w:t>
      </w:r>
      <w:proofErr w:type="gramEnd"/>
      <w:r w:rsidRPr="00891820">
        <w:rPr>
          <w:rFonts w:ascii="Arial" w:hAnsi="Arial" w:cs="Arial"/>
          <w:sz w:val="18"/>
          <w:szCs w:val="18"/>
        </w:rPr>
        <w:t xml:space="preserve"> en junio las plazas del IMSS crecieron en 285 mil respecto a marzo, lo cual indicó que continuó la tendencia positiva que inició desde febrero de 2021. El principal aumento en el trimestre fue en empleos permanentes con 174 mil 573, lo que representó el 61% del total; mientras que los empleos eventuales aumentaron 74 mil 906 en el trimestre.</w:t>
      </w:r>
    </w:p>
    <w:p w14:paraId="1F7EC22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Con respecto al nivel de precios del consumidor, durante el segundo trimestre de 2023 se prolongó la tendencia a la baja de la inflación general, debido principalmente a las menores variaciones anuales en agropecuarios y energéticos. Estos resultados estuvieron apoyados en la disminución de los precios de las referencias internacionales de materias primas y las mejores condiciones climatológicas. Adicionalmente, el componente subyacente se benefició del continuo progreso hacia la completa normalización de las cadenas de valor, así como la apreciación del tipo de cambio.</w:t>
      </w:r>
    </w:p>
    <w:p w14:paraId="16EC4D49"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este contexto, durante el segundo trimestre de 2023, la inflación general anual promedió 5.71%, lo cual fue menor en 1.74 </w:t>
      </w:r>
      <w:proofErr w:type="spellStart"/>
      <w:r w:rsidRPr="00891820">
        <w:rPr>
          <w:rFonts w:ascii="Arial" w:hAnsi="Arial" w:cs="Arial"/>
          <w:sz w:val="18"/>
          <w:szCs w:val="18"/>
        </w:rPr>
        <w:t>pp</w:t>
      </w:r>
      <w:proofErr w:type="spellEnd"/>
      <w:r w:rsidRPr="00891820">
        <w:rPr>
          <w:rFonts w:ascii="Arial" w:hAnsi="Arial" w:cs="Arial"/>
          <w:sz w:val="18"/>
          <w:szCs w:val="18"/>
        </w:rPr>
        <w:t xml:space="preserve"> a la registrada en el promedio del trimestre anterior, y acumuló tres trimestres consecutivos a la </w:t>
      </w:r>
      <w:r w:rsidRPr="00891820">
        <w:rPr>
          <w:rFonts w:ascii="Arial" w:hAnsi="Arial" w:cs="Arial"/>
          <w:sz w:val="18"/>
          <w:szCs w:val="18"/>
        </w:rPr>
        <w:lastRenderedPageBreak/>
        <w:t xml:space="preserve">baja. En su interior, la inflación no subyacente anual promedio fue menor en 4.06 </w:t>
      </w:r>
      <w:proofErr w:type="spellStart"/>
      <w:r w:rsidRPr="00891820">
        <w:rPr>
          <w:rFonts w:ascii="Arial" w:hAnsi="Arial" w:cs="Arial"/>
          <w:sz w:val="18"/>
          <w:szCs w:val="18"/>
        </w:rPr>
        <w:t>pp</w:t>
      </w:r>
      <w:proofErr w:type="spellEnd"/>
      <w:r w:rsidRPr="00891820">
        <w:rPr>
          <w:rFonts w:ascii="Arial" w:hAnsi="Arial" w:cs="Arial"/>
          <w:sz w:val="18"/>
          <w:szCs w:val="18"/>
        </w:rPr>
        <w:t xml:space="preserve"> respecto al promedio del trimestre anterior. Por su parte, la reducción trimestral de 0.97 </w:t>
      </w:r>
      <w:proofErr w:type="spellStart"/>
      <w:r w:rsidRPr="00891820">
        <w:rPr>
          <w:rFonts w:ascii="Arial" w:hAnsi="Arial" w:cs="Arial"/>
          <w:sz w:val="18"/>
          <w:szCs w:val="18"/>
        </w:rPr>
        <w:t>pp</w:t>
      </w:r>
      <w:proofErr w:type="spellEnd"/>
      <w:r w:rsidRPr="00891820">
        <w:rPr>
          <w:rFonts w:ascii="Arial" w:hAnsi="Arial" w:cs="Arial"/>
          <w:sz w:val="18"/>
          <w:szCs w:val="18"/>
        </w:rPr>
        <w:t xml:space="preserve"> en la inflación subyacente promedio, permitió que en junio registrara su menor nivel desde marzo de 2022.</w:t>
      </w:r>
    </w:p>
    <w:p w14:paraId="5C1A9748"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relación con la cuenta corriente, la última información disponible al primer trimestre de 2023 mostró un saldo deficitario de 14 mil 282 millones de dólares (3.6% del PIB anualizado), mayor que el déficit registrado en el mismo trimestre de 2022 de 12 mil 365 millones de dólares (3.7% del PIB). Este incremento en el déficit de la cuenta corriente fue resultado de un mayor déficit en la balanza comercial petrolera y en la balanza de ingreso primario, mismos que fueron parcialmente compensados por un superávit en la balanza de ingreso secundario. Lo anterior fue impulsado por una caída en las exportaciones petroleras acompañada de un alza en las importaciones petroleras, y consecuencia de un aumento significativo en el pago neto de utilidades y dividendos, que fue el mayor desde que se tiene registro. Adicionalmente, se presentó una reducción en el déficit de la balanza de servicios y un incremento en la balanza comercial no petrolera que, en conjunto con un aumento del superávit de la balanza del ingreso secundario, compensó parcialmente los incrementos en los déficits de la balanza de mercancías petroleras y de la balanza de ingreso primario. Por último, México captó una entrada de recursos del exterior, por lo que en el primer trimestre de 2023 la cuenta financiera de la balanza de pagos registró un endeudamiento neto frente al resto del mundo por 12 mil 344 millones de dólares, el mayor desde 2017 para un trimestre similar.</w:t>
      </w:r>
    </w:p>
    <w:p w14:paraId="12FA66E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el comparativo anual el comportamiento de la cuenta financiera se explicó por el aumento significativo en la entrada de recursos en inversión directa y en inversión de cartera. En el primer rubro se observó la entrada de recursos más alta desde que se tiene registro, resultado de la IED recibida (18 mil 636 millones de dólares) y por la repatriación de inversiones por 778 millones de dólares. En el segundo, se observó una entrada neta por 1 mil 512 millones de dólares, derivado de una entrada neta de capital por dos mil 984 millones de dólares compensado parcialmente por la salida neta de recursos en títulos de deuda por 1 mil 472 millones de dólares. En este último, destacó que, a pesar de la caída neta, hubo una entrada de recursos en el rubro de títulos de deuda del gobierno general por tres mil 198 millones de dólares. Lo anterior se compensó por la salida de recursos en los rubros de derivados financieros por un monto dos mil 200 millones de dólares, y en otra inversión por un monto de 3 mil 523 millones de dólares resultado del otorgamiento de créditos comerciales a residentes en el exterior. En tanto, los activos de reserva tuvieron un préstamo neto de 2 mil 858 millones de dólares, menor que la salida de recursos por 3 mil 933 millones de dólares del primer trimestre del 2022.</w:t>
      </w:r>
    </w:p>
    <w:p w14:paraId="7EE4A1A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Durante el segundo trimestre de 2023, el sistema financiero mexicano registró menores episodios de volatilidad ante la expectativa de una moderación en el ciclo alcista en las tasas de referencia de la FED y Banxico. Como resultado, el peso mexicano se apreció respecto al dólar estadounidense, el riesgo país se redujo con respecto a otras economías pares y el crédito de la banca comercial siguió recuperándose con niveles elevados de capitalización y bajas tasas de morosidad. En el mercado cambiario, al 30 de junio, el tipo de cambio se ubicó en 17.1 pesos por dólar estadounidense lo que representó una apreciación de 5.4% respecto al nivel observado al 31 de marzo de 2023, mientras que su volatilidad implícita a un mes cerró el segundo trimestre en 9.1%, es decir, 2.5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debajo del promedio del primer trimestre. </w:t>
      </w:r>
    </w:p>
    <w:p w14:paraId="387B78C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relación con otras divisas, el peso mexicano mantuvo un desempeño favorable entre economías emergentes, solo por detrás del peso colombiano, el esloti polaco y el real brasileño, los cuales se apreciaron en 10.8, 6.2, y 5.8%, respectivamente, durante el mismo periodo. Los sólidos fundamentales macroeconómicos del país, la prudencia fiscal, los flujos del exterior provenientes de las remesas, así como la estabilidad política y social del país, junto con el amplio diferencial de tasa de interés respecto a la FED, son factores que contribuyeron a la fortaleza de la moneda nacional. Por su parte, durante el segundo trimestre, Banxico se reunió en dos ocasiones, el 18 de mayo y el 22 de junio. En ambas reuniones, su Junta de Gobierno decidió mantener la tasa objetivo en 11.25%, en un contexto donde se observó un proceso de menores presiones inflacionarias en el país y las expectativas de inflación continuaron su descenso. No obstante, en el último Comité de Política Monetaria, se comunicó que se mantendría el nivel actual de tasa de interés por un periodo prolongado para lograr la convergencia a la meta de inflación del 3.0%.</w:t>
      </w:r>
    </w:p>
    <w:p w14:paraId="0445BBF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Por otro lado, la aversión al riesgo hacia economías emergentes disminuyó durante el segundo trimestre. Las Permutas de Incumplimiento Crediticio a cinco años (CDS) para la deuda soberana de México se ubicaron en 102.1 pb al 30 de junio, 17.8 pb por debajo de valor observado el 31 de marzo de 2023; no obstante, se encontraron aún por encima del promedio de 2021. Esta disminución contrasta con la observada en países que mantienen la misma </w:t>
      </w:r>
      <w:r w:rsidRPr="00891820">
        <w:rPr>
          <w:rFonts w:ascii="Arial" w:hAnsi="Arial" w:cs="Arial"/>
          <w:sz w:val="18"/>
          <w:szCs w:val="18"/>
        </w:rPr>
        <w:lastRenderedPageBreak/>
        <w:t xml:space="preserve">calificación crediticia que México para su deuda soberana de largo plazo como Italia, Panamá e Indonesia cuyo riesgo crediticio disminuyó en menor medida en 16.8, 16.5 y 10.4 pb, respectivamente, durante el mismo periodo. </w:t>
      </w:r>
    </w:p>
    <w:p w14:paraId="2C8C5622"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cuanto al mercado de renta fija, durante el segundo trimestre, la curva de rendimientos en pesos continuó invertida, con disminuciones en los nodos de corto plazo que promediaron los - 39 pb, mientras que la disminución en la parte media y larga fue de - 23 pb en promedio; en un contexto en que, si bien los incrementos de la tasa de política monetaria se moderaron, continuaron las expectativas de un menor crecimiento económico. Como resultado, entre los cierres de marzo y junio, la pendiente de 10 y 2 años continuó negativa, ubicándose en - 149 pb al 30 de junio, mientras que el rendimiento de los bonos del Gobierno Federal en moneda nacional a 10 años se ubicó en 8.67%, lo cual reflejó una disminución de 17 pb en relación con el cierre del trimestre previo.</w:t>
      </w:r>
    </w:p>
    <w:p w14:paraId="581648CA"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El crédito vigente a las empresas mostró un crecimiento real de 1.2% en el mismo periodo, con lo cual se revirtió la contracción observada en el primer trimestre de 2023. Lo anterior, bajo el impulso de un crecimiento en el crédito a la industria manufacturera, comercio y construcción con variaciones de 0.6, 0.6 y 0.5%, respectivamente. Por otra parte, el crédito a la agricultura registró una contracción de - 1.2% en el mismo periodo. Por último, con base en las últimas cifras disponibles, el índice de capitalización (ICAP) de la banca comercial se ubicó en 19.2% en abril, por encima del capital mínimo regulatorio establecido por los estándares internacionales de Basilea III de 10.5%, mientras que el índice de morosidad en mayo se mantuvo en niveles bajos, en 2.1%, similar al cierre del trimestre previo, y 1.1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debajo del promedio observado en 2008-2009.</w:t>
      </w:r>
    </w:p>
    <w:p w14:paraId="34B28AD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Al cierre de junio, los balances públicos y la deuda registraron un comportamiento favorable con respecto a lo programado, en línea con el compromiso del Gobierno de México por mantener finanzas públicas sanas. Específicamente, al cierre del primer semestre de 2023, se observó un menor déficit público respecto al programa, al tiempo que las desviaciones de los ingresos y el gasto son moderadas y no comprometen el cumplimiento de las metas fiscales para el cierre del año. Respecto al comportamiento de los ingresos presupuestarios al primer semestre del año en curso, se observó una disminución respecto al mismo periodo del año previo debido a los menores precios de los hidrocarburos y la apreciación del peso respecto al dólar estadounidense. No obstante, estos factores han contribuido a bajar la inflación y han permitido que las empresas enfrenten menores costos de maquinaria y equipo e insumos importados. Lo anterior ha sido acompañado por la reducción gradual de los estímulos fiscales al consumo de combustibles a través del IEPS correspondiente. </w:t>
      </w:r>
    </w:p>
    <w:p w14:paraId="7E80B23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De forma agregada, la recaudación tributaria continuó aumentando, y en el periodo enero-junio se incrementó en términos reales con respecto a lo observado en el mismo periodo del año anterior. Como resultado de las reformas emprendidas en materia laboral, cuyos efectos se han reflejado en mayores salarios, niveles de empleo, así como en utilidades más altas para las empresas, la recaudación del ISR continuó aportando al crecimiento de los ingresos públicos. A su vez, se continuaron observando resultados positivos derivados de las medidas de eficiencia recaudatoria impulsadas desde el inicio de la administración. En contraste, el ritmo de crecimiento del IVA y del impuesto a las importaciones se moderó en el contexto de la apreciación del peso con respecto al dólar estadounidense y la consecuente disminución del valor facturado en moneda nacional de los bienes y servicios importados. </w:t>
      </w:r>
    </w:p>
    <w:p w14:paraId="5AD7B24D"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materia de gasto, durante el primer semestre de 2023 se privilegió la asignación estratégica de recursos con impacto directo en el crecimiento económico y el bienestar de la ciudadanía. En cuanto al primer punto, se registró un incremento de la inversión física, hecho relevante en el contexto de la mayor demanda por infraestructura para el desarrollo de la capacidad productiva y la integración regional. En cuanto al segundo punto, se registró un incremento en el gasto social relacionado con educación y protección social, como parte del interés de que la política de gasto abone al desarrollo de la juventud y otros grupos en situación de vulnerabilidad.</w:t>
      </w:r>
    </w:p>
    <w:p w14:paraId="2474392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02AC00CC"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7881DB8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2023 y 2024, aunque menores a los observados en ejercicios anteriores. Los resultados financieros balanceados y la política de deuda conservadora, han permitido que desde el ejercicio 2008 el Estado de Tlaxcala haya registrado una posición libre de endeudamiento.</w:t>
      </w:r>
    </w:p>
    <w:p w14:paraId="6DD5A04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Esperamos que Tlaxcala siga registrando márgenes operativos positivos en 2023 y 2024 aunque menores a los observados en años previos a la pandemia, debido principalmente a la disminución en las transferencias federales no etiquetadas (participaciones) en 2024, las cuales son equivalentes al 44% de los ingresos operativos. Hacia el cierre del año se estima que las participaciones asciendan a 3.7% del PIB, 0.1 </w:t>
      </w:r>
      <w:proofErr w:type="spellStart"/>
      <w:r w:rsidRPr="00891820">
        <w:rPr>
          <w:rFonts w:ascii="Arial" w:hAnsi="Arial" w:cs="Arial"/>
          <w:sz w:val="18"/>
          <w:szCs w:val="18"/>
        </w:rPr>
        <w:t>pp</w:t>
      </w:r>
      <w:proofErr w:type="spellEnd"/>
      <w:r w:rsidRPr="00891820">
        <w:rPr>
          <w:rFonts w:ascii="Arial" w:hAnsi="Arial" w:cs="Arial"/>
          <w:sz w:val="18"/>
          <w:szCs w:val="18"/>
        </w:rPr>
        <w:t xml:space="preserve"> por arriba del nivel observado en 2022.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1D30B60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2023 y 2024 Tlaxcala registre superávits financieros aunado a un mayor gasto de capital para el periodo en cuestión.</w:t>
      </w:r>
    </w:p>
    <w:p w14:paraId="0001836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Se estima que para 2024, los ingresos propios se mantengan en niveles estables similares a los de 2023, en línea con las previsiones efectuadas por el Gobierno Federal, considerando que los recursos destinados a las entidades federativas, en lo que va del año se han asignado 1 billón 418.7 mil millones de pesos, lo que representa un crecimiento de 2.4% con respecto a enero-julio de 2022. En su interior, las participaciones a Entidades y Municipios representaron el 50.5% del total, mientras que las aportaciones federales del Ramo 25 y Ramo 33 el 39.3%.</w:t>
      </w:r>
    </w:p>
    <w:p w14:paraId="282DAA9E"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79B3727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El Indicador Trimestral de la Actividad Económica Estatal (ITAEE), reveló para el caso de Tlaxcala que la variación trimestral de la actividad económica fue de 4.1% a tasa anual respecto al mismo periodo de 2022, con lo que la economía del Estado de Tlaxcala se ha mantenido </w:t>
      </w:r>
      <w:proofErr w:type="gramStart"/>
      <w:r w:rsidRPr="00891820">
        <w:rPr>
          <w:rFonts w:ascii="Arial" w:hAnsi="Arial" w:cs="Arial"/>
          <w:sz w:val="18"/>
          <w:szCs w:val="18"/>
        </w:rPr>
        <w:t>a la alza</w:t>
      </w:r>
      <w:proofErr w:type="gramEnd"/>
      <w:r w:rsidRPr="00891820">
        <w:rPr>
          <w:rFonts w:ascii="Arial" w:hAnsi="Arial" w:cs="Arial"/>
          <w:sz w:val="18"/>
          <w:szCs w:val="18"/>
        </w:rPr>
        <w:t>, manteniéndose por encima de la media nacional que es de 3.7%.</w:t>
      </w:r>
    </w:p>
    <w:p w14:paraId="4BF5DCA1"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En cuanto a las actividades primarias, la media nacional del Indicador Trimestral de la Actividad Económica se ubicó en 2.3% con respecto al mismo </w:t>
      </w:r>
      <w:proofErr w:type="gramStart"/>
      <w:r w:rsidRPr="00891820">
        <w:rPr>
          <w:rFonts w:ascii="Arial" w:hAnsi="Arial" w:cs="Arial"/>
          <w:sz w:val="18"/>
          <w:szCs w:val="18"/>
        </w:rPr>
        <w:t>trimestre</w:t>
      </w:r>
      <w:proofErr w:type="gramEnd"/>
      <w:r w:rsidRPr="00891820">
        <w:rPr>
          <w:rFonts w:ascii="Arial" w:hAnsi="Arial" w:cs="Arial"/>
          <w:sz w:val="18"/>
          <w:szCs w:val="18"/>
        </w:rPr>
        <w:t xml:space="preserve"> pero del año anterior, indicador que colocó a Tlaxcala en 1.3% de variación anual, principalmente por el comportamiento de la agricultura, cría y explotación de animales. Con ello, Tlaxcala se situó en el lugar 16 a nivel nacional.</w:t>
      </w:r>
    </w:p>
    <w:p w14:paraId="43055490"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Respecto a las actividades secundarias que comprende los sectores dedicados a la industria de la minería, manufacturas, construcción y electricidad con corte al primer trimestre del presente año y en comparación con el 2022, la variación de la entidad tlaxcalteca fue de 7.5% mientras que la media nacional fue de 2.5%, ubicando a Tlaxcala en el séptimo lugar entre las 32 Entidades Federativas del país.</w:t>
      </w:r>
    </w:p>
    <w:p w14:paraId="4D71CFF6"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2.5%, cuando la media nacional fue de 4.3%, lo que ubicó a Tlaxcala en el lugar 25 a nivel nacional, siendo el Estado de Quintana Roo quien generó una mayor variación positiva con un 7.7%.</w:t>
      </w:r>
    </w:p>
    <w:p w14:paraId="2123D472"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0A639E4F" w14:textId="2D9D850A"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061D53F7" wp14:editId="031A939C">
            <wp:extent cx="5943600" cy="5680075"/>
            <wp:effectExtent l="0" t="0" r="0" b="0"/>
            <wp:docPr id="14245523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29581" t="15694" r="29231" b="14359"/>
                    <a:stretch>
                      <a:fillRect/>
                    </a:stretch>
                  </pic:blipFill>
                  <pic:spPr bwMode="auto">
                    <a:xfrm>
                      <a:off x="0" y="0"/>
                      <a:ext cx="5943600" cy="5680075"/>
                    </a:xfrm>
                    <a:prstGeom prst="rect">
                      <a:avLst/>
                    </a:prstGeom>
                    <a:noFill/>
                    <a:ln>
                      <a:noFill/>
                    </a:ln>
                  </pic:spPr>
                </pic:pic>
              </a:graphicData>
            </a:graphic>
          </wp:inline>
        </w:drawing>
      </w:r>
    </w:p>
    <w:p w14:paraId="2ABCE2B1" w14:textId="77777777" w:rsid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Al mes de agosto de 2023 la tasa de ocupación reflejó una participación del 1% al total nacional, presentando un incremento de 4,583, puestos de trabajo permanentes respecto a diciembre de 2022. Al mes de agosto de 2023, se tienen registrados 114,467 trabajadores asegurados en el IMSS, tal y como se muestra en los cuadros siguientes:</w:t>
      </w:r>
    </w:p>
    <w:p w14:paraId="003733A8" w14:textId="77777777" w:rsidR="006F2F5C" w:rsidRDefault="006F2F5C" w:rsidP="00891820">
      <w:pPr>
        <w:tabs>
          <w:tab w:val="left" w:pos="284"/>
        </w:tabs>
        <w:ind w:left="284"/>
        <w:jc w:val="both"/>
        <w:rPr>
          <w:rFonts w:ascii="Arial" w:hAnsi="Arial" w:cs="Arial"/>
          <w:sz w:val="18"/>
          <w:szCs w:val="18"/>
        </w:rPr>
      </w:pPr>
    </w:p>
    <w:p w14:paraId="0E26CEAA" w14:textId="77777777" w:rsidR="006F2F5C" w:rsidRDefault="006F2F5C" w:rsidP="00891820">
      <w:pPr>
        <w:tabs>
          <w:tab w:val="left" w:pos="284"/>
        </w:tabs>
        <w:ind w:left="284"/>
        <w:jc w:val="both"/>
        <w:rPr>
          <w:rFonts w:ascii="Arial" w:hAnsi="Arial" w:cs="Arial"/>
          <w:sz w:val="18"/>
          <w:szCs w:val="18"/>
        </w:rPr>
      </w:pPr>
    </w:p>
    <w:p w14:paraId="18BC94A0" w14:textId="77777777" w:rsidR="006F2F5C" w:rsidRDefault="006F2F5C" w:rsidP="00891820">
      <w:pPr>
        <w:tabs>
          <w:tab w:val="left" w:pos="284"/>
        </w:tabs>
        <w:ind w:left="284"/>
        <w:jc w:val="both"/>
        <w:rPr>
          <w:rFonts w:ascii="Arial" w:hAnsi="Arial" w:cs="Arial"/>
          <w:sz w:val="18"/>
          <w:szCs w:val="18"/>
        </w:rPr>
      </w:pPr>
    </w:p>
    <w:p w14:paraId="7B6A7EC1" w14:textId="77777777" w:rsidR="006F2F5C" w:rsidRDefault="006F2F5C" w:rsidP="00891820">
      <w:pPr>
        <w:tabs>
          <w:tab w:val="left" w:pos="284"/>
        </w:tabs>
        <w:ind w:left="284"/>
        <w:jc w:val="both"/>
        <w:rPr>
          <w:rFonts w:ascii="Arial" w:hAnsi="Arial" w:cs="Arial"/>
          <w:sz w:val="18"/>
          <w:szCs w:val="18"/>
        </w:rPr>
      </w:pPr>
    </w:p>
    <w:p w14:paraId="386F1113" w14:textId="77777777" w:rsidR="006F2F5C" w:rsidRDefault="006F2F5C" w:rsidP="00891820">
      <w:pPr>
        <w:tabs>
          <w:tab w:val="left" w:pos="284"/>
        </w:tabs>
        <w:ind w:left="284"/>
        <w:jc w:val="both"/>
        <w:rPr>
          <w:rFonts w:ascii="Arial" w:hAnsi="Arial" w:cs="Arial"/>
          <w:sz w:val="18"/>
          <w:szCs w:val="18"/>
        </w:rPr>
      </w:pPr>
    </w:p>
    <w:p w14:paraId="419472FF" w14:textId="77777777" w:rsidR="006F2F5C" w:rsidRDefault="006F2F5C" w:rsidP="00891820">
      <w:pPr>
        <w:tabs>
          <w:tab w:val="left" w:pos="284"/>
        </w:tabs>
        <w:ind w:left="284"/>
        <w:jc w:val="both"/>
        <w:rPr>
          <w:rFonts w:ascii="Arial" w:hAnsi="Arial" w:cs="Arial"/>
          <w:sz w:val="18"/>
          <w:szCs w:val="18"/>
        </w:rPr>
      </w:pPr>
    </w:p>
    <w:p w14:paraId="37053200" w14:textId="77777777" w:rsidR="006F2F5C" w:rsidRDefault="006F2F5C" w:rsidP="00891820">
      <w:pPr>
        <w:tabs>
          <w:tab w:val="left" w:pos="284"/>
        </w:tabs>
        <w:ind w:left="284"/>
        <w:jc w:val="both"/>
        <w:rPr>
          <w:rFonts w:ascii="Arial" w:hAnsi="Arial" w:cs="Arial"/>
          <w:sz w:val="18"/>
          <w:szCs w:val="18"/>
        </w:rPr>
      </w:pPr>
    </w:p>
    <w:p w14:paraId="2A96C89C" w14:textId="67986502" w:rsidR="006F2F5C" w:rsidRDefault="006F2F5C"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5C67DD42" wp14:editId="37AF9164">
            <wp:extent cx="6065106" cy="3807460"/>
            <wp:effectExtent l="0" t="0" r="0" b="2540"/>
            <wp:docPr id="2035723708" name="Imagen 203572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27261" t="25330" r="25334" b="38513"/>
                    <a:stretch/>
                  </pic:blipFill>
                  <pic:spPr bwMode="auto">
                    <a:xfrm>
                      <a:off x="0" y="0"/>
                      <a:ext cx="6078041" cy="3815580"/>
                    </a:xfrm>
                    <a:prstGeom prst="rect">
                      <a:avLst/>
                    </a:prstGeom>
                    <a:noFill/>
                    <a:ln>
                      <a:noFill/>
                    </a:ln>
                    <a:extLst>
                      <a:ext uri="{53640926-AAD7-44D8-BBD7-CCE9431645EC}">
                        <a14:shadowObscured xmlns:a14="http://schemas.microsoft.com/office/drawing/2010/main"/>
                      </a:ext>
                    </a:extLst>
                  </pic:spPr>
                </pic:pic>
              </a:graphicData>
            </a:graphic>
          </wp:inline>
        </w:drawing>
      </w:r>
    </w:p>
    <w:p w14:paraId="73558A8A" w14:textId="77777777" w:rsidR="006F2F5C" w:rsidRPr="00891820" w:rsidRDefault="006F2F5C" w:rsidP="00891820">
      <w:pPr>
        <w:tabs>
          <w:tab w:val="left" w:pos="284"/>
        </w:tabs>
        <w:ind w:left="284"/>
        <w:jc w:val="both"/>
        <w:rPr>
          <w:rFonts w:ascii="Arial" w:hAnsi="Arial" w:cs="Arial"/>
          <w:sz w:val="18"/>
          <w:szCs w:val="18"/>
        </w:rPr>
      </w:pPr>
    </w:p>
    <w:p w14:paraId="6A8EE4E2" w14:textId="3599262D"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2E2AE1CE" wp14:editId="6D3F057C">
            <wp:extent cx="6009065" cy="3138805"/>
            <wp:effectExtent l="0" t="0" r="0" b="4445"/>
            <wp:docPr id="13226056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27261" t="62848" r="25334" b="5803"/>
                    <a:stretch/>
                  </pic:blipFill>
                  <pic:spPr bwMode="auto">
                    <a:xfrm>
                      <a:off x="0" y="0"/>
                      <a:ext cx="6027327" cy="3148344"/>
                    </a:xfrm>
                    <a:prstGeom prst="rect">
                      <a:avLst/>
                    </a:prstGeom>
                    <a:noFill/>
                    <a:ln>
                      <a:noFill/>
                    </a:ln>
                    <a:extLst>
                      <a:ext uri="{53640926-AAD7-44D8-BBD7-CCE9431645EC}">
                        <a14:shadowObscured xmlns:a14="http://schemas.microsoft.com/office/drawing/2010/main"/>
                      </a:ext>
                    </a:extLst>
                  </pic:spPr>
                </pic:pic>
              </a:graphicData>
            </a:graphic>
          </wp:inline>
        </w:drawing>
      </w:r>
    </w:p>
    <w:p w14:paraId="06EFAFFC" w14:textId="5776B62C"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lastRenderedPageBreak/>
        <w:drawing>
          <wp:inline distT="0" distB="0" distL="0" distR="0" wp14:anchorId="3E2562B8" wp14:editId="24E3EFE4">
            <wp:extent cx="5943600" cy="4050030"/>
            <wp:effectExtent l="0" t="0" r="0" b="7620"/>
            <wp:docPr id="19514500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22614" t="21475" r="23946" b="7735"/>
                    <a:stretch>
                      <a:fillRect/>
                    </a:stretch>
                  </pic:blipFill>
                  <pic:spPr bwMode="auto">
                    <a:xfrm>
                      <a:off x="0" y="0"/>
                      <a:ext cx="5943600" cy="4050030"/>
                    </a:xfrm>
                    <a:prstGeom prst="rect">
                      <a:avLst/>
                    </a:prstGeom>
                    <a:noFill/>
                    <a:ln>
                      <a:noFill/>
                    </a:ln>
                  </pic:spPr>
                </pic:pic>
              </a:graphicData>
            </a:graphic>
          </wp:inline>
        </w:drawing>
      </w:r>
    </w:p>
    <w:p w14:paraId="343F100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De acuerdo al Directorio Estadístico Nacional de Unidades Económicas, Tlaxcala cuenta con 82,520 Unidades Económicas al mes de septiembre de 2023, en los rubros siguientes:</w:t>
      </w:r>
    </w:p>
    <w:p w14:paraId="7434F0D6" w14:textId="0E8431E9" w:rsidR="00891820" w:rsidRPr="00891820" w:rsidRDefault="00891820" w:rsidP="006F2F5C">
      <w:pPr>
        <w:tabs>
          <w:tab w:val="left" w:pos="284"/>
        </w:tabs>
        <w:ind w:left="284"/>
        <w:jc w:val="center"/>
        <w:rPr>
          <w:rFonts w:ascii="Arial" w:hAnsi="Arial" w:cs="Arial"/>
          <w:sz w:val="18"/>
          <w:szCs w:val="18"/>
        </w:rPr>
      </w:pPr>
      <w:r w:rsidRPr="00891820">
        <w:rPr>
          <w:rFonts w:ascii="Arial" w:hAnsi="Arial" w:cs="Arial"/>
          <w:noProof/>
          <w:sz w:val="18"/>
          <w:szCs w:val="18"/>
          <w:lang w:eastAsia="es-MX"/>
        </w:rPr>
        <w:drawing>
          <wp:inline distT="0" distB="0" distL="0" distR="0" wp14:anchorId="3B49003D" wp14:editId="3CDC0DAE">
            <wp:extent cx="3602393" cy="3700732"/>
            <wp:effectExtent l="0" t="0" r="0" b="0"/>
            <wp:docPr id="195717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7600" cy="3736900"/>
                    </a:xfrm>
                    <a:prstGeom prst="rect">
                      <a:avLst/>
                    </a:prstGeom>
                    <a:noFill/>
                    <a:ln>
                      <a:noFill/>
                    </a:ln>
                  </pic:spPr>
                </pic:pic>
              </a:graphicData>
            </a:graphic>
          </wp:inline>
        </w:drawing>
      </w:r>
    </w:p>
    <w:p w14:paraId="2E082E04" w14:textId="77777777" w:rsidR="00891820" w:rsidRPr="00891820" w:rsidRDefault="00891820" w:rsidP="006F2F5C">
      <w:pPr>
        <w:ind w:left="1985"/>
        <w:jc w:val="both"/>
        <w:rPr>
          <w:rFonts w:ascii="Arial" w:hAnsi="Arial" w:cs="Arial"/>
          <w:sz w:val="18"/>
          <w:szCs w:val="18"/>
        </w:rPr>
      </w:pPr>
      <w:r w:rsidRPr="00891820">
        <w:rPr>
          <w:rFonts w:ascii="Arial" w:hAnsi="Arial" w:cs="Arial"/>
          <w:sz w:val="18"/>
          <w:szCs w:val="18"/>
        </w:rPr>
        <w:t>FUENTE: INEGI. DENUE. Septiembre 2023.</w:t>
      </w:r>
    </w:p>
    <w:p w14:paraId="6B66D6D5"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Lo que representa una participación del 1% del Estado en el total nacional. Al segundo trimestre de 2023 la Población Económicamente Activa (PEA) ascendió a 670,784 personas, representando el 53% de la población en edad de trabajar. Del total de la PEA, el 97% está ocupada y el 3% se encuentra desocupada.</w:t>
      </w:r>
    </w:p>
    <w:p w14:paraId="0F070B65" w14:textId="4328B0F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7A9B045D" wp14:editId="61440D52">
            <wp:extent cx="5942913" cy="5408762"/>
            <wp:effectExtent l="0" t="0" r="1270" b="1905"/>
            <wp:docPr id="18971009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l="24321" t="20374" r="25481" b="8589"/>
                    <a:stretch>
                      <a:fillRect/>
                    </a:stretch>
                  </pic:blipFill>
                  <pic:spPr bwMode="auto">
                    <a:xfrm>
                      <a:off x="0" y="0"/>
                      <a:ext cx="5974738" cy="5437727"/>
                    </a:xfrm>
                    <a:prstGeom prst="rect">
                      <a:avLst/>
                    </a:prstGeom>
                    <a:noFill/>
                    <a:ln>
                      <a:noFill/>
                    </a:ln>
                  </pic:spPr>
                </pic:pic>
              </a:graphicData>
            </a:graphic>
          </wp:inline>
        </w:drawing>
      </w:r>
    </w:p>
    <w:p w14:paraId="7F4BC977" w14:textId="77777777" w:rsidR="006F2F5C" w:rsidRDefault="006F2F5C" w:rsidP="00891820">
      <w:pPr>
        <w:tabs>
          <w:tab w:val="left" w:pos="284"/>
        </w:tabs>
        <w:ind w:left="284"/>
        <w:jc w:val="both"/>
        <w:rPr>
          <w:rFonts w:ascii="Arial" w:hAnsi="Arial" w:cs="Arial"/>
          <w:sz w:val="18"/>
          <w:szCs w:val="18"/>
        </w:rPr>
      </w:pPr>
    </w:p>
    <w:p w14:paraId="64AF7343" w14:textId="77777777" w:rsidR="006F2F5C" w:rsidRDefault="006F2F5C" w:rsidP="00891820">
      <w:pPr>
        <w:tabs>
          <w:tab w:val="left" w:pos="284"/>
        </w:tabs>
        <w:ind w:left="284"/>
        <w:jc w:val="both"/>
        <w:rPr>
          <w:rFonts w:ascii="Arial" w:hAnsi="Arial" w:cs="Arial"/>
          <w:sz w:val="18"/>
          <w:szCs w:val="18"/>
        </w:rPr>
      </w:pPr>
    </w:p>
    <w:p w14:paraId="3B9FACFA" w14:textId="77777777" w:rsidR="006F2F5C" w:rsidRDefault="006F2F5C" w:rsidP="00891820">
      <w:pPr>
        <w:tabs>
          <w:tab w:val="left" w:pos="284"/>
        </w:tabs>
        <w:ind w:left="284"/>
        <w:jc w:val="both"/>
        <w:rPr>
          <w:rFonts w:ascii="Arial" w:hAnsi="Arial" w:cs="Arial"/>
          <w:sz w:val="18"/>
          <w:szCs w:val="18"/>
        </w:rPr>
      </w:pPr>
    </w:p>
    <w:p w14:paraId="7AAFE0AD" w14:textId="77777777" w:rsidR="006F2F5C" w:rsidRDefault="006F2F5C" w:rsidP="00891820">
      <w:pPr>
        <w:tabs>
          <w:tab w:val="left" w:pos="284"/>
        </w:tabs>
        <w:ind w:left="284"/>
        <w:jc w:val="both"/>
        <w:rPr>
          <w:rFonts w:ascii="Arial" w:hAnsi="Arial" w:cs="Arial"/>
          <w:sz w:val="18"/>
          <w:szCs w:val="18"/>
        </w:rPr>
      </w:pPr>
    </w:p>
    <w:p w14:paraId="09EF1375" w14:textId="77777777" w:rsidR="006F2F5C" w:rsidRDefault="006F2F5C" w:rsidP="00891820">
      <w:pPr>
        <w:tabs>
          <w:tab w:val="left" w:pos="284"/>
        </w:tabs>
        <w:ind w:left="284"/>
        <w:jc w:val="both"/>
        <w:rPr>
          <w:rFonts w:ascii="Arial" w:hAnsi="Arial" w:cs="Arial"/>
          <w:sz w:val="18"/>
          <w:szCs w:val="18"/>
        </w:rPr>
      </w:pPr>
    </w:p>
    <w:p w14:paraId="6F280C46" w14:textId="77777777" w:rsidR="006F2F5C" w:rsidRDefault="006F2F5C" w:rsidP="00891820">
      <w:pPr>
        <w:tabs>
          <w:tab w:val="left" w:pos="284"/>
        </w:tabs>
        <w:ind w:left="284"/>
        <w:jc w:val="both"/>
        <w:rPr>
          <w:rFonts w:ascii="Arial" w:hAnsi="Arial" w:cs="Arial"/>
          <w:sz w:val="18"/>
          <w:szCs w:val="18"/>
        </w:rPr>
      </w:pPr>
    </w:p>
    <w:p w14:paraId="36363F77" w14:textId="77777777" w:rsidR="006F2F5C" w:rsidRDefault="006F2F5C" w:rsidP="00891820">
      <w:pPr>
        <w:tabs>
          <w:tab w:val="left" w:pos="284"/>
        </w:tabs>
        <w:ind w:left="284"/>
        <w:jc w:val="both"/>
        <w:rPr>
          <w:rFonts w:ascii="Arial" w:hAnsi="Arial" w:cs="Arial"/>
          <w:sz w:val="18"/>
          <w:szCs w:val="18"/>
        </w:rPr>
      </w:pPr>
    </w:p>
    <w:p w14:paraId="1FA0215A" w14:textId="77777777" w:rsidR="006F2F5C" w:rsidRDefault="006F2F5C" w:rsidP="00891820">
      <w:pPr>
        <w:tabs>
          <w:tab w:val="left" w:pos="284"/>
        </w:tabs>
        <w:ind w:left="284"/>
        <w:jc w:val="both"/>
        <w:rPr>
          <w:rFonts w:ascii="Arial" w:hAnsi="Arial" w:cs="Arial"/>
          <w:sz w:val="18"/>
          <w:szCs w:val="18"/>
        </w:rPr>
      </w:pPr>
    </w:p>
    <w:p w14:paraId="07E6C7F2" w14:textId="77777777" w:rsidR="006F2F5C" w:rsidRDefault="006F2F5C" w:rsidP="00891820">
      <w:pPr>
        <w:tabs>
          <w:tab w:val="left" w:pos="284"/>
        </w:tabs>
        <w:ind w:left="284"/>
        <w:jc w:val="both"/>
        <w:rPr>
          <w:rFonts w:ascii="Arial" w:hAnsi="Arial" w:cs="Arial"/>
          <w:sz w:val="18"/>
          <w:szCs w:val="18"/>
        </w:rPr>
      </w:pPr>
    </w:p>
    <w:p w14:paraId="4E0D1C97" w14:textId="144FD526"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lastRenderedPageBreak/>
        <w:t>Al segundo trimestre de 2023, la Inversión Extranjera Directa Acumulada del año 2006 al mes de junio de 2023 en el Estado de Tlaxcala fue de 3,132.0 millones de dólares, lo que representó un aporte del 0.1% al total nacional, instalándose empresas de diversas nacionalidades, tal y como se observa en el cuadro comparativo siguiente:</w:t>
      </w:r>
    </w:p>
    <w:p w14:paraId="680EA711" w14:textId="2458EC6D"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noProof/>
          <w:sz w:val="18"/>
          <w:szCs w:val="18"/>
          <w:lang w:eastAsia="es-MX"/>
        </w:rPr>
        <w:drawing>
          <wp:inline distT="0" distB="0" distL="0" distR="0" wp14:anchorId="28036CAE" wp14:editId="0B2F088A">
            <wp:extent cx="5943600" cy="4080295"/>
            <wp:effectExtent l="0" t="0" r="0" b="0"/>
            <wp:docPr id="382014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5705" cy="4081740"/>
                    </a:xfrm>
                    <a:prstGeom prst="rect">
                      <a:avLst/>
                    </a:prstGeom>
                    <a:noFill/>
                    <a:ln>
                      <a:noFill/>
                    </a:ln>
                  </pic:spPr>
                </pic:pic>
              </a:graphicData>
            </a:graphic>
          </wp:inline>
        </w:drawing>
      </w:r>
    </w:p>
    <w:p w14:paraId="152C2BB1"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891820">
        <w:rPr>
          <w:rFonts w:ascii="Arial" w:hAnsi="Arial" w:cs="Arial"/>
          <w:sz w:val="18"/>
          <w:szCs w:val="18"/>
        </w:rPr>
        <w:t>privada</w:t>
      </w:r>
      <w:proofErr w:type="gramEnd"/>
      <w:r w:rsidRPr="00891820">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1DE51E18"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5E524E53"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3AE6087F" w14:textId="77777777" w:rsidR="00891820" w:rsidRPr="00891820" w:rsidRDefault="00891820" w:rsidP="00891820">
      <w:pPr>
        <w:tabs>
          <w:tab w:val="left" w:pos="284"/>
        </w:tabs>
        <w:ind w:left="284"/>
        <w:jc w:val="both"/>
        <w:rPr>
          <w:rFonts w:ascii="Arial" w:hAnsi="Arial" w:cs="Arial"/>
          <w:sz w:val="18"/>
          <w:szCs w:val="18"/>
        </w:rPr>
      </w:pPr>
      <w:r w:rsidRPr="008918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lastRenderedPageBreak/>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w:t>
      </w:r>
      <w:r>
        <w:rPr>
          <w:rFonts w:ascii="Arial" w:hAnsi="Arial" w:cs="Arial"/>
          <w:sz w:val="18"/>
          <w:szCs w:val="18"/>
        </w:rPr>
        <w:lastRenderedPageBreak/>
        <w:t>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w:t>
      </w:r>
      <w:r>
        <w:rPr>
          <w:rFonts w:ascii="Arial" w:hAnsi="Arial" w:cs="Arial"/>
          <w:sz w:val="18"/>
          <w:szCs w:val="18"/>
        </w:rPr>
        <w:lastRenderedPageBreak/>
        <w:t>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34"/>
      <w:headerReference w:type="default" r:id="rId35"/>
      <w:footerReference w:type="even" r:id="rId36"/>
      <w:footerReference w:type="default" r:id="rId37"/>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13FDA" w14:textId="77777777" w:rsidR="00FD4D1C" w:rsidRDefault="00FD4D1C" w:rsidP="00EA5418">
      <w:pPr>
        <w:spacing w:after="0" w:line="240" w:lineRule="auto"/>
      </w:pPr>
      <w:r>
        <w:separator/>
      </w:r>
    </w:p>
  </w:endnote>
  <w:endnote w:type="continuationSeparator" w:id="0">
    <w:p w14:paraId="22C7A339" w14:textId="77777777" w:rsidR="00FD4D1C" w:rsidRDefault="00FD4D1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577B866B"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F79C0" w:rsidRPr="00DF79C0">
          <w:rPr>
            <w:rFonts w:ascii="Arial" w:hAnsi="Arial" w:cs="Arial"/>
            <w:noProof/>
            <w:sz w:val="20"/>
            <w:lang w:val="es-ES"/>
          </w:rPr>
          <w:t>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744A7949"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F79C0" w:rsidRPr="00DF79C0">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3472" w14:textId="77777777" w:rsidR="00FD4D1C" w:rsidRDefault="00FD4D1C" w:rsidP="00EA5418">
      <w:pPr>
        <w:spacing w:after="0" w:line="240" w:lineRule="auto"/>
      </w:pPr>
      <w:r>
        <w:separator/>
      </w:r>
    </w:p>
  </w:footnote>
  <w:footnote w:type="continuationSeparator" w:id="0">
    <w:p w14:paraId="3F189E2E" w14:textId="77777777" w:rsidR="00FD4D1C" w:rsidRDefault="00FD4D1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4DF9"/>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71A"/>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67D5"/>
    <w:rsid w:val="008168EE"/>
    <w:rsid w:val="00817DFF"/>
    <w:rsid w:val="00820352"/>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5966"/>
    <w:rsid w:val="009E71C0"/>
    <w:rsid w:val="009F10CD"/>
    <w:rsid w:val="009F239C"/>
    <w:rsid w:val="009F23C4"/>
    <w:rsid w:val="009F270C"/>
    <w:rsid w:val="009F564C"/>
    <w:rsid w:val="009F5E29"/>
    <w:rsid w:val="00A018A3"/>
    <w:rsid w:val="00A01B1B"/>
    <w:rsid w:val="00A02E76"/>
    <w:rsid w:val="00A045DD"/>
    <w:rsid w:val="00A06D66"/>
    <w:rsid w:val="00A073BF"/>
    <w:rsid w:val="00A07E0D"/>
    <w:rsid w:val="00A1075C"/>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201"/>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DF79C0"/>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4D1C"/>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package" Target="embeddings/Microsoft_Excel_Worksheet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1204-66AC-497C-B538-DF958A25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11806</Words>
  <Characters>64936</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4</cp:revision>
  <cp:lastPrinted>2023-04-14T18:47:00Z</cp:lastPrinted>
  <dcterms:created xsi:type="dcterms:W3CDTF">2023-10-19T19:15:00Z</dcterms:created>
  <dcterms:modified xsi:type="dcterms:W3CDTF">2023-10-25T15:26:00Z</dcterms:modified>
</cp:coreProperties>
</file>