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5F66" w14:textId="65290DE8" w:rsidR="007D6E9A" w:rsidRDefault="00000000" w:rsidP="00D60DC7">
      <w:pPr>
        <w:tabs>
          <w:tab w:val="left" w:pos="2605"/>
          <w:tab w:val="center" w:pos="4680"/>
        </w:tabs>
      </w:pPr>
      <w:bookmarkStart w:id="0" w:name="_Hlk132626715"/>
      <w:bookmarkEnd w:id="0"/>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30.85pt;margin-top:12pt;width:852.5pt;height:670pt;z-index:-251652096;mso-position-horizontal-relative:text;mso-position-vertical-relative:text;mso-width-relative:page;mso-height-relative:page">
            <v:imagedata r:id="rId8" o:title=""/>
          </v:shape>
          <o:OLEObject Type="Embed" ProgID="Excel.Sheet.12" ShapeID="_x0000_s2101" DrawAspect="Content" ObjectID="_1775468045" r:id="rId9"/>
        </w:object>
      </w:r>
      <w:r w:rsidR="00D60DC7">
        <w:tab/>
      </w:r>
      <w:r w:rsidR="00D60DC7">
        <w:tab/>
      </w:r>
    </w:p>
    <w:p w14:paraId="199C8860" w14:textId="77777777"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77777777" w:rsidR="00215B92" w:rsidRDefault="00000000" w:rsidP="003926A7">
      <w:pPr>
        <w:tabs>
          <w:tab w:val="right" w:pos="9360"/>
        </w:tabs>
      </w:pPr>
      <w:r>
        <w:rPr>
          <w:noProof/>
        </w:rPr>
        <w:lastRenderedPageBreak/>
        <w:object w:dxaOrig="1440" w:dyaOrig="1440" w14:anchorId="58913841">
          <v:shape id="_x0000_s2080" type="#_x0000_t75" style="position:absolute;margin-left:-62.75pt;margin-top:29.65pt;width:597.15pt;height:642.35pt;z-index:-251655168;mso-position-horizontal-relative:text;mso-position-vertical-relative:text">
            <v:imagedata r:id="rId10" o:title=""/>
            <w10:wrap side="right"/>
          </v:shape>
          <o:OLEObject Type="Embed" ProgID="Excel.Sheet.12" ShapeID="_x0000_s2080" DrawAspect="Content" ObjectID="_1775468046" r:id="rId11"/>
        </w:object>
      </w:r>
      <w:r w:rsidR="003926A7">
        <w:tab/>
      </w:r>
    </w:p>
    <w:p w14:paraId="78C71164" w14:textId="77777777" w:rsidR="00215B92" w:rsidRDefault="001B1579" w:rsidP="003926A7">
      <w:pPr>
        <w:tabs>
          <w:tab w:val="left" w:pos="3380"/>
          <w:tab w:val="center" w:pos="4680"/>
          <w:tab w:val="right" w:pos="9360"/>
        </w:tabs>
      </w:pPr>
      <w:r>
        <w:tab/>
      </w:r>
      <w:r>
        <w:tab/>
      </w:r>
      <w:r w:rsidR="003926A7">
        <w:tab/>
      </w:r>
    </w:p>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B86673">
      <w:pPr>
        <w:jc w:val="center"/>
      </w:pPr>
    </w:p>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000000" w:rsidP="00F90A31">
      <w:pPr>
        <w:tabs>
          <w:tab w:val="center" w:pos="4680"/>
        </w:tabs>
      </w:pPr>
      <w:r>
        <w:rPr>
          <w:noProof/>
        </w:rPr>
        <w:lastRenderedPageBreak/>
        <w:object w:dxaOrig="1440" w:dyaOrig="1440" w14:anchorId="5627ED0E">
          <v:shape id="_x0000_s2102" type="#_x0000_t75" style="position:absolute;margin-left:-55.85pt;margin-top:5.65pt;width:637.3pt;height:683.7pt;z-index:-251651072;mso-position-horizontal-relative:text;mso-position-vertical-relative:text;mso-width-relative:page;mso-height-relative:page">
            <v:imagedata r:id="rId12" o:title=""/>
          </v:shape>
          <o:OLEObject Type="Embed" ProgID="Excel.Sheet.12" ShapeID="_x0000_s2102" DrawAspect="Content" ObjectID="_1775468047" r:id="rId13"/>
        </w:object>
      </w:r>
      <w:r w:rsidR="00F90A31">
        <w:tab/>
      </w:r>
    </w:p>
    <w:p w14:paraId="417D8544" w14:textId="77777777" w:rsidR="00215B92" w:rsidRPr="00215B92" w:rsidRDefault="003926A7" w:rsidP="003926A7">
      <w:pPr>
        <w:tabs>
          <w:tab w:val="left" w:pos="5619"/>
        </w:tabs>
      </w:pPr>
      <w:r>
        <w:tab/>
      </w:r>
    </w:p>
    <w:p w14:paraId="076E4DE9" w14:textId="77777777" w:rsidR="00372F40" w:rsidRDefault="00372F40" w:rsidP="003E7FD0">
      <w:pPr>
        <w:jc w:val="center"/>
      </w:pPr>
    </w:p>
    <w:p w14:paraId="2DAF8CB5" w14:textId="7128B6ED" w:rsidR="00215B92" w:rsidRDefault="00AF357E" w:rsidP="00AF357E">
      <w:pPr>
        <w:tabs>
          <w:tab w:val="left" w:pos="2778"/>
        </w:tabs>
      </w:pPr>
      <w:r>
        <w:tab/>
      </w:r>
      <w:r w:rsidR="000B54AD">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3E6F0DEC" w:rsidR="00215B92" w:rsidRDefault="00F21F02" w:rsidP="00215B92">
      <w:pPr>
        <w:ind w:firstLine="708"/>
      </w:pPr>
      <w:r>
        <w:lastRenderedPageBreak/>
        <w:t xml:space="preserve"> </w:t>
      </w:r>
    </w:p>
    <w:p w14:paraId="739824E7" w14:textId="4575E483" w:rsidR="00215B92" w:rsidRDefault="00000000" w:rsidP="00215B92">
      <w:pPr>
        <w:ind w:firstLine="708"/>
      </w:pPr>
      <w:r>
        <w:rPr>
          <w:noProof/>
        </w:rPr>
        <w:object w:dxaOrig="1440" w:dyaOrig="1440" w14:anchorId="54BE0AF3">
          <v:shape id="_x0000_s2095" type="#_x0000_t75" style="position:absolute;left:0;text-align:left;margin-left:-38pt;margin-top:10.95pt;width:555.15pt;height:635.55pt;z-index:251663360;mso-position-horizontal-relative:text;mso-position-vertical-relative:text">
            <v:imagedata r:id="rId14" o:title=""/>
            <w10:wrap side="right"/>
          </v:shape>
          <o:OLEObject Type="Embed" ProgID="Excel.Sheet.12" ShapeID="_x0000_s2095" DrawAspect="Content" ObjectID="_1775468048" r:id="rId15"/>
        </w:object>
      </w: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77777777" w:rsidR="00954BB8" w:rsidRDefault="00954BB8" w:rsidP="00215B92">
      <w:pPr>
        <w:ind w:firstLine="708"/>
      </w:pPr>
    </w:p>
    <w:p w14:paraId="0DEDC8E7" w14:textId="77777777" w:rsidR="00954BB8" w:rsidRDefault="00000000" w:rsidP="00215B92">
      <w:pPr>
        <w:ind w:firstLine="708"/>
      </w:pPr>
      <w:r>
        <w:rPr>
          <w:noProof/>
        </w:rPr>
        <w:lastRenderedPageBreak/>
        <w:object w:dxaOrig="1440" w:dyaOrig="1440" w14:anchorId="19B6F674">
          <v:shape id="_x0000_s2104" type="#_x0000_t75" style="position:absolute;left:0;text-align:left;margin-left:-49.85pt;margin-top:27pt;width:537.25pt;height:646.75pt;z-index:251667456;mso-position-horizontal-relative:text;mso-position-vertical-relative:text;mso-width-relative:page;mso-height-relative:page">
            <v:imagedata r:id="rId16" o:title=""/>
          </v:shape>
          <o:OLEObject Type="Embed" ProgID="Excel.Sheet.12" ShapeID="_x0000_s2104" DrawAspect="Content" ObjectID="_1775468049" r:id="rId17"/>
        </w:object>
      </w: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77777777" w:rsidR="00954BB8" w:rsidRDefault="00954BB8" w:rsidP="00215B92">
      <w:pPr>
        <w:ind w:firstLine="708"/>
      </w:pPr>
    </w:p>
    <w:p w14:paraId="2D94CEAF" w14:textId="19DCFE88" w:rsidR="00954BB8" w:rsidRDefault="00000000" w:rsidP="00215B92">
      <w:pPr>
        <w:ind w:firstLine="708"/>
      </w:pPr>
      <w:r>
        <w:rPr>
          <w:noProof/>
        </w:rPr>
        <w:lastRenderedPageBreak/>
        <w:object w:dxaOrig="1440" w:dyaOrig="1440" w14:anchorId="1B198261">
          <v:shape id="_x0000_s2088" type="#_x0000_t75" style="position:absolute;left:0;text-align:left;margin-left:-55.4pt;margin-top:29.05pt;width:563.8pt;height:631.85pt;z-index:251662336;mso-position-horizontal-relative:text;mso-position-vertical-relative:text">
            <v:imagedata r:id="rId18" o:title=""/>
            <w10:wrap side="right"/>
          </v:shape>
          <o:OLEObject Type="Embed" ProgID="Excel.Sheet.12" ShapeID="_x0000_s2088" DrawAspect="Content" ObjectID="_1775468050" r:id="rId19"/>
        </w:object>
      </w:r>
    </w:p>
    <w:p w14:paraId="40C9DB41" w14:textId="5B77B163" w:rsidR="00954BB8" w:rsidRDefault="00954BB8" w:rsidP="00215B92">
      <w:pPr>
        <w:ind w:firstLine="708"/>
      </w:pP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13677F36" w14:textId="77777777" w:rsidR="00F302C1" w:rsidRDefault="00F302C1" w:rsidP="00215B92">
      <w:pPr>
        <w:ind w:firstLine="708"/>
      </w:pPr>
    </w:p>
    <w:p w14:paraId="04880660" w14:textId="77777777" w:rsidR="00F302C1" w:rsidRDefault="00000000" w:rsidP="00215B92">
      <w:pPr>
        <w:ind w:firstLine="708"/>
      </w:pPr>
      <w:r>
        <w:rPr>
          <w:noProof/>
        </w:rPr>
        <w:lastRenderedPageBreak/>
        <w:object w:dxaOrig="1440" w:dyaOrig="1440" w14:anchorId="3CAB8C98">
          <v:shape id="_x0000_s2103" type="#_x0000_t75" style="position:absolute;left:0;text-align:left;margin-left:-55.05pt;margin-top:20.85pt;width:559.35pt;height:664.1pt;z-index:251666432;mso-position-horizontal-relative:text;mso-position-vertical-relative:text;mso-width-relative:page;mso-height-relative:page">
            <v:imagedata r:id="rId20" o:title=""/>
          </v:shape>
          <o:OLEObject Type="Embed" ProgID="Excel.Sheet.12" ShapeID="_x0000_s2103" DrawAspect="Content" ObjectID="_1775468051" r:id="rId21"/>
        </w:object>
      </w:r>
    </w:p>
    <w:p w14:paraId="7169367C" w14:textId="77777777" w:rsidR="00F302C1" w:rsidRDefault="00F302C1" w:rsidP="00215B92">
      <w:pPr>
        <w:ind w:firstLine="708"/>
      </w:pPr>
    </w:p>
    <w:p w14:paraId="6C5C3A4A" w14:textId="77777777" w:rsidR="00F302C1" w:rsidRDefault="00F302C1" w:rsidP="00215B92">
      <w:pPr>
        <w:ind w:firstLine="708"/>
      </w:pPr>
    </w:p>
    <w:p w14:paraId="293523D8" w14:textId="77777777" w:rsidR="00F302C1" w:rsidRDefault="00F302C1" w:rsidP="00215B92">
      <w:pPr>
        <w:ind w:firstLine="708"/>
      </w:pP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300A11FB" w14:textId="77777777" w:rsidR="00F302C1" w:rsidRDefault="00F302C1" w:rsidP="00215B92">
      <w:pPr>
        <w:ind w:firstLine="708"/>
      </w:pPr>
    </w:p>
    <w:p w14:paraId="0D609E68" w14:textId="77777777" w:rsidR="00372F40" w:rsidRDefault="00372F40"/>
    <w:p w14:paraId="2C1DBAF2" w14:textId="77777777" w:rsidR="00420656" w:rsidRPr="0073056A" w:rsidRDefault="00420656" w:rsidP="00420656">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0B99AB7C" w14:textId="77777777" w:rsidR="00420656" w:rsidRDefault="00420656" w:rsidP="00420656">
      <w:pPr>
        <w:pStyle w:val="Texto"/>
        <w:tabs>
          <w:tab w:val="left" w:pos="284"/>
        </w:tabs>
        <w:spacing w:after="0" w:line="276" w:lineRule="auto"/>
        <w:ind w:left="284" w:firstLine="0"/>
        <w:rPr>
          <w:b/>
          <w:szCs w:val="18"/>
          <w:lang w:val="es-MX"/>
        </w:rPr>
      </w:pPr>
    </w:p>
    <w:p w14:paraId="21547829" w14:textId="77777777" w:rsidR="00420656" w:rsidRPr="0073056A" w:rsidRDefault="00420656" w:rsidP="00420656">
      <w:pPr>
        <w:pStyle w:val="Texto"/>
        <w:tabs>
          <w:tab w:val="left" w:pos="284"/>
        </w:tabs>
        <w:spacing w:after="0" w:line="276" w:lineRule="auto"/>
        <w:ind w:left="284" w:firstLine="0"/>
        <w:rPr>
          <w:b/>
          <w:szCs w:val="18"/>
        </w:rPr>
      </w:pPr>
      <w:r w:rsidRPr="0073056A">
        <w:rPr>
          <w:b/>
          <w:szCs w:val="18"/>
          <w:lang w:val="es-MX"/>
        </w:rPr>
        <w:t>Introducción</w:t>
      </w:r>
    </w:p>
    <w:p w14:paraId="409274A4"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4D9196D0"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65537E3B" w14:textId="77777777" w:rsidR="00420656"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22099BA7" w14:textId="432B1CB0" w:rsidR="00420656" w:rsidRDefault="00420656" w:rsidP="00420656">
      <w:pPr>
        <w:pStyle w:val="Texto"/>
        <w:numPr>
          <w:ilvl w:val="0"/>
          <w:numId w:val="5"/>
        </w:numPr>
        <w:tabs>
          <w:tab w:val="left" w:pos="284"/>
        </w:tabs>
        <w:spacing w:after="0" w:line="276" w:lineRule="auto"/>
        <w:rPr>
          <w:b/>
          <w:szCs w:val="18"/>
          <w:lang w:val="es-MX"/>
        </w:rPr>
      </w:pPr>
      <w:r>
        <w:rPr>
          <w:b/>
          <w:szCs w:val="18"/>
          <w:lang w:val="es-MX"/>
        </w:rPr>
        <w:t>Autorización e Historia</w:t>
      </w:r>
    </w:p>
    <w:p w14:paraId="65A51428"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09033A9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5BEC160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0B164D4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719FA03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13D24EC0"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623DD7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F1E8103" w14:textId="4FB0702B" w:rsidR="00420656" w:rsidRPr="0073056A" w:rsidRDefault="00420656" w:rsidP="00420656">
      <w:pPr>
        <w:pStyle w:val="Texto"/>
        <w:tabs>
          <w:tab w:val="left" w:pos="284"/>
        </w:tabs>
        <w:spacing w:after="0" w:line="276" w:lineRule="auto"/>
        <w:ind w:left="284" w:firstLine="0"/>
        <w:rPr>
          <w:b/>
          <w:szCs w:val="18"/>
          <w:lang w:val="es-MX"/>
        </w:rPr>
      </w:pPr>
      <w:r>
        <w:rPr>
          <w:b/>
          <w:szCs w:val="18"/>
          <w:lang w:val="es-MX"/>
        </w:rPr>
        <w:lastRenderedPageBreak/>
        <w:t xml:space="preserve">2. </w:t>
      </w:r>
      <w:r w:rsidRPr="0073056A">
        <w:rPr>
          <w:b/>
          <w:szCs w:val="18"/>
          <w:lang w:val="es-MX"/>
        </w:rPr>
        <w:t>Panorama Económico y Financiero</w:t>
      </w:r>
    </w:p>
    <w:p w14:paraId="167B204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43B13F9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414F5F3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00E655F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2023, la actividad económica global creció por encima de lo anticipado a inicios de año. Si bien mostró un menor dinamismo respecto a 2022, esto se debió a la acumulación de choques que persistieron desde la pandemia del COVID-19, la invasión de Rusia a Ucrania y su efecto en las presiones inflacionarias, así como la persistencia de condiciones financieras restrictivas a nivel mundial. No obstante, durante 2023 se observó una disminución de la inflación aunada al buen desempeño de la mayoría de las economías, como fue el caso de México, que destacó como una de las economías emergentes con mayor crecimiento anual. De esta manera, hacia el cierre de 2023 se redujo la probabilidad de una recesión a nivel global en 2024, a la par que mejoraron las expectativas sobre una moderación en el crecimiento con menores tasas de interés. No obstante, el ritmo de crecimiento fue heterogéneo entre las principales economías del mundo. </w:t>
      </w:r>
    </w:p>
    <w:p w14:paraId="67106C3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un lado, el Producto Interno Bruto (PIB) de Estados Unidos (EE.UU.) registró un crecimiento anual de 2.5% real apoyado por el consumo privado, principalmente. Ello reflejó el aumento en la creación de empleo, el incremento de los salarios reales y la sólida posición financiera de los hogares. Por el otro, en China, si bien el crecimiento real de la economía fue de 5.2% anual, 0.2 puntos porcentuales (</w:t>
      </w:r>
      <w:proofErr w:type="spellStart"/>
      <w:r w:rsidRPr="00A74179">
        <w:rPr>
          <w:rFonts w:ascii="Arial" w:hAnsi="Arial" w:cs="Arial"/>
          <w:sz w:val="18"/>
          <w:szCs w:val="18"/>
        </w:rPr>
        <w:t>pp</w:t>
      </w:r>
      <w:proofErr w:type="spellEnd"/>
      <w:r w:rsidRPr="00A74179">
        <w:rPr>
          <w:rFonts w:ascii="Arial" w:hAnsi="Arial" w:cs="Arial"/>
          <w:sz w:val="18"/>
          <w:szCs w:val="18"/>
        </w:rPr>
        <w:t xml:space="preserve">) por encima de la meta oficial, los problemas en el sector inmobiliario, la baja participación del consumo privado y la debilidad de la demanda externa continuaron pesando sobre la economía; esto a pesar de los apoyos fiscales otorgados por el gobierno chino. Asimismo, en la zona del euro, la pérdida de poder adquisitivo en los hogares y el menor nivel de actividad económica, ambos productos del aumento en los precios de los energéticos y la desaceleración de la inversión, propiciaron un crecimiento marginal en 2023. </w:t>
      </w:r>
    </w:p>
    <w:p w14:paraId="41EDB39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el mismo año, las presiones inflacionarias se moderaron y continuaron con una trayectoria descendente, mejor a la esperada. Esta menor presión se explicó por la continua normalización de las cadenas de suministro y la disminución en los precios de las materias primas, en particular los energéticos. La menor demanda en los mercados laborales de las economías avanzadas también contribuyó a reducir las presiones salariales y su traslado a la inflación. Sin embargo, las tasas de inflación en estas economías permanecieron por arriba de los objetivos de los bancos centrales al finalizar el año, si bien las expectativas de mediano plazo se mantuvieron ancladas.</w:t>
      </w:r>
    </w:p>
    <w:p w14:paraId="601BB19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Adicionalmente, durante 2023 se observaron episodios de volatilidad en los precios de los alimentos. En el segundo semestre del año, el fenómeno “El Niño” ocasionó pérdidas de cultivos y afectaciones en la producción de granos básicos, mientras que las políticas restrictivas a las exportaciones en diversos países también contribuyeron a </w:t>
      </w:r>
      <w:proofErr w:type="spellStart"/>
      <w:r w:rsidRPr="00A74179">
        <w:rPr>
          <w:rFonts w:ascii="Arial" w:hAnsi="Arial" w:cs="Arial"/>
          <w:sz w:val="18"/>
          <w:szCs w:val="18"/>
        </w:rPr>
        <w:t>a</w:t>
      </w:r>
      <w:proofErr w:type="spellEnd"/>
      <w:r w:rsidRPr="00A74179">
        <w:rPr>
          <w:rFonts w:ascii="Arial" w:hAnsi="Arial" w:cs="Arial"/>
          <w:sz w:val="18"/>
          <w:szCs w:val="18"/>
        </w:rPr>
        <w:t xml:space="preserve"> reducción de la oferta de productos agrícolas. Por su parte, los precios de los energéticos, particularmente del petróleo y sus derivados, se vieron presionados al alza por los nuevos recortes en la producción de petróleo por </w:t>
      </w:r>
      <w:r w:rsidRPr="00A74179">
        <w:rPr>
          <w:rFonts w:ascii="Arial" w:hAnsi="Arial" w:cs="Arial"/>
          <w:sz w:val="18"/>
          <w:szCs w:val="18"/>
        </w:rPr>
        <w:lastRenderedPageBreak/>
        <w:t>parte de la OPEP+ y los recientes conflictos en Medio Oriente. No obstante, estas presiones fueron compensadas por la mayor producción de crudo en EE.UU. y la expectativa de una desaceleración económica, especialmente en China, segundo consumidor a nivel global.</w:t>
      </w:r>
    </w:p>
    <w:p w14:paraId="0CA0B2D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este contexto, los principales bancos centrales de las economías avanzadas continuaron elevando sus tasas de referencia hacia una postura monetaria más restrictiva, con el fin de reducir la persistencia de la inflación e incidir sobre las expectativas de mediano plazo. Tal es el caso de la Reserva Federal (FED), que en 2023 incrementó su tasa de referencia a niveles no vistos en los últimos 15 años, alcanzando un rango de 5.25-5.50%; mientras que el Banco Central Europeo (BCE) situó su tasa de depósitos en 4.0%, nivel no observado desde su creación en 1999. Hacia finales de 2023, ante la clara disminución de las presiones inflacionarias, la FED anunció que su tasa de política monetaria permanecería sin cambios el 26 de septiembre, al igual que el BCE, a partir del 17 de octubre. Finalmente, el 12 de diciembre, el presidente de la FED, Jerome Powell, reconoció estar cerca de la tasa terminal, reforzando el mensaje en los mercados del fin del ciclo de endurecimiento monetario. Por su parte, diversos bancos centrales en economías emergentes como Brasil, Chile y Perú, países que comenzaron su periodo restrictivo antes que las economías avanzadas, empezaron a relajar sus tasas de política monetaria desde la segunda mitad de 2023. </w:t>
      </w:r>
    </w:p>
    <w:p w14:paraId="668376F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lo anterior, las condiciones financieras mostraron un comportamiento restrictivo en gran parte de 2023, y se observaron episodios de volatilidad frente a la incertidumbre sobre los resultados económicos. Por ejemplo, las tasas de interés a 10 de años de los bonos del Tesoro alcanzaron niveles cercanos al 5.0% en octubre de 2023, nivel no visto desde 2007, comportamiento atribuido a la expectativa de que la FED podría mantener elevada su tasa de referencia por más tiempo. Sin embargo, la trayectoria descendente de la inflación, el mejor desempeño de los mercados laborales y la solidez económica en EE.UU., redujeron la volatilidad en los mercados de renta fija y crearon un panorama más favorable para disminuir las tasas en 2024. </w:t>
      </w:r>
    </w:p>
    <w:p w14:paraId="0797B29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este contexto, en 2023, la economía mexicana prolongó su racha de crecimiento por tercer año consecutivo, a la par de que se continuaron generando empleos con mayores salarios. Al interior, destacó el desempeño positivo de la inversión, principalmente la inversión privada, la cual alcanzó niveles y tasas de crecimiento históricas. Asimismo, el consumo privado se vio favorecido por los incrementos en la masa salarial, la mayor confianza del consumidor y la apreciación del peso respecto al dólar estadounidense. Mientras que, en el sector externo, destacaron los aumentos de los ingresos por turismo, el crecimiento de las exportaciones manufactureras y los niveles récord de Inversión Extranjera Directa (IED).</w:t>
      </w:r>
    </w:p>
    <w:p w14:paraId="1204280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sistema financiero mexicano experimentó en 2023 episodios de volatilidad y aversión al riesgo debido, principalmente, a la incertidumbre sobre la tasa terminal de la FED. Sin embargo, la perspectiva fue más favorable hacia el cierre del año a medida que se reforzó la expectativa del fin del ciclo de alza de tasas en EE.UU. Como resultado, el tipo de cambio finalizó el año en 17.0 pesos por dólar estadounidense, lo que implicó una apreciación de 14.9% respecto al año previo. En el mismo periodo, el rendimiento de los bonos del Gobierno Federal en moneda nacional a 10 años se ubicó en 8.9%, una disminución de 8 puntos base (pb) con respecto a 2022, mientras que la percepción de riesgo país, medido por las Permutas de Incumplimiento Crediticio (CDS) a 5 años, disminuyó en 42 pb, situándose en 88.5 pb al cierre de año. </w:t>
      </w:r>
    </w:p>
    <w:p w14:paraId="620DB27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crédito vigente al sector privado no financiero por parte de la banca comercial registró un crecimiento real acumulado de 5.8% a noviembre de 2023; mientras que, al interior, el crédito vigente a las empresas reportó un crecimiento acumulado de 2.7% real en el mismo periodo. Por su parte, en noviembre, el Índice de Capitalización (ICAP) de la banca comercial se mantuvo por encima de los estándares internacionales de Basilea III (10.5%) en 19.3%, lo que da muestra de la estabilidad del sistema bancario del país. Finalmente, a lo largo del año, el Índice de Morosidad (IMOR) se ubicó en promedio en 2.1%, con lo cual se mantuvo muy por debajo del promedio observado en periodos de estrés previos como 2008-2009.</w:t>
      </w:r>
    </w:p>
    <w:p w14:paraId="0E8D384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gestión de las finanzas públicas se llevó a cabo en un entorno donde prevalecieron condiciones financieras restrictivas tanto a nivel nacional como internacional, las cuales tuvieron un impacto directo en el costo financiero de la deuda. Además, la influencia de choques externos como los menores precios del petróleo y la apreciación del tipo de cambio respecto a lo programado resultaron en menores ingresos petroleros con respecto a lo previsto. No obstante, lo anterior fue compensado por la reconocida solidez de la recaudación tributaria y por un ejercicio ordenado del gasto público, el cual se efectuó bajo criterios de eficiencia y transparencia, sin descuidar el bienestar de la población. </w:t>
      </w:r>
    </w:p>
    <w:p w14:paraId="534116A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 xml:space="preserve">Como resultado del sólido desempeño de la actividad económica, así como de los efectos de las medidas implementadas para combatir el fraude fiscal y fomentar un mayor cumplimiento por parte de los contribuyentes, la recaudación tributaria permaneció robusta y mostró un crecimiento de 12.4% real al cierre de 2023, el más alto desde 2015. Además, los ingresos tributarios alcanzaron el 14.2% del PIB, lo que representó un máximo histórico y la materialización de ganancias permanentes en la recaudación de al menos 1.6 </w:t>
      </w:r>
      <w:proofErr w:type="spellStart"/>
      <w:r w:rsidRPr="00A74179">
        <w:rPr>
          <w:rFonts w:ascii="Arial" w:hAnsi="Arial" w:cs="Arial"/>
          <w:sz w:val="18"/>
          <w:szCs w:val="18"/>
        </w:rPr>
        <w:t>pp</w:t>
      </w:r>
      <w:proofErr w:type="spellEnd"/>
      <w:r w:rsidRPr="00A74179">
        <w:rPr>
          <w:rFonts w:ascii="Arial" w:hAnsi="Arial" w:cs="Arial"/>
          <w:sz w:val="18"/>
          <w:szCs w:val="18"/>
        </w:rPr>
        <w:t xml:space="preserve"> del PIB respecto a 2018. </w:t>
      </w:r>
    </w:p>
    <w:p w14:paraId="07623D0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particular, la recaudación del Impuesto Sobre la Renta (ISR) creció 4.6% respecto al nivel observado en 2022, en términos reales, impulsada por el crecimiento de los salarios, los altos niveles de empleo y las mayores ganancias de las empresas. Cabe destacar que el monto observado alcanzó un máximo histórico de 7.9% del PIB. </w:t>
      </w:r>
    </w:p>
    <w:p w14:paraId="5EB1E0F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otra parte, en 2023 se registró un alza de 6.0% real en la recaudación del Impuesto al Valor Agregado (IVA), la cual superó el promedio de 2013 a 2022 y reflejó el buen desempeño del consumo privado a nivel nacional. Como porcentaje del PIB, el IVA alcanzó un nivel equivalente al 4.3%, el más alto desde que se tiene registro. </w:t>
      </w:r>
    </w:p>
    <w:p w14:paraId="29A4BA7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crecimiento total de los ingresos tributarios también se explicó por el efecto de la mayor recaudación del Impuesto Especial sobre Producción y Servicios (IEPS), en el contexto de una menor base de comparación debido a la aplicación de estímulos al precio de los combustibles en 2022. En este sentido, la recaudación total del IEPS fue 3.6 veces superior a la observada en 2022, en términos reales, apoyada por un incremento de 3.6% anual del componente distinto de combustibles, crecimiento más alto desde 2017. </w:t>
      </w:r>
    </w:p>
    <w:p w14:paraId="6B5A8D1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Cabe destacar que, al excluir el IEPS de combustibles, la recaudación tributaria aumentó 4.5% real respecto a 2022, alcanzando un nivel sin precedentes equivalente al 13.5% de PIB. En el caso de los ingresos petroleros, en 2023 se observó una caída real anual de 31.0%, relacionada con la disminución del precio de la mezcla mexicana de petróleo para exportación (MME) respecto a los niveles alcanzados en 2022 y la apreciación del tipo de cambio, dos factores que fueron parcialmente compensados por una mayor plataforma de producción. De la totalidad de los ingresos petroleros, Petróleos Mexicanos (Pemex) recibió el 68.3% del total, cifra muy por encima de lo observado en administraciones anteriores, como resultado de las medidas emprendidas para reducir la carga fiscal de la empresa.</w:t>
      </w:r>
    </w:p>
    <w:p w14:paraId="501B6BB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su parte, el ejercicio del gasto público se mantuvo en línea con los criterios definidos en el Presupuesto de Egresos de la Federación (PEF) 2023 y con el cumplimiento de las metas fiscales; ello sin descuidar la asignación de recursos necesarios para el combate a la pobreza y la desigualdad, así como para la ampliación de la capacidad productiva y el resarcimiento de las brechas de infraestructura en la región sureste del país, principalmente. </w:t>
      </w:r>
    </w:p>
    <w:p w14:paraId="4E1F807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Al cierre de 2023, se registró un aumento del gasto en protección social de 8.6% real, y como porcentaje del PIB alcanzó un nivel sin precedentes de 5.4%. Este desempeño obedeció a un aumento del gasto en programas sociales, tales como pensiones y otros apoyos, mismos que han permitido reducir la pobreza y mejorar la calidad de vida de sectores de la población históricamente desfavorecidos. </w:t>
      </w:r>
    </w:p>
    <w:p w14:paraId="1238612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 la par, el gasto en educación aumentó 5.1% respecto a su nivel de 2022, en términos reales, incremento que se compara favorablemente con la caída promedio de 0.3% registrada entre 2013 y 2022. Por su parte, la inversión física ascendió a 2.8% del PIB, lo que representó un crecimiento acumulado de 11.3% en términos reales respecto al nivel observado en 2018. </w:t>
      </w:r>
    </w:p>
    <w:p w14:paraId="6175A0E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ejercicio de estos recursos permitió avanzar en la construcción de múltiples proyectos de infraestructura capaces de generar empleo de calidad e impulsar el crecimiento económico potencial. Por otro lado, con respecto al gasto de operación, se observó una reducción de 2.1% real, resultado de las medidas de austeridad para hacer un uso más eficiente de los recursos disponibles. </w:t>
      </w:r>
    </w:p>
    <w:p w14:paraId="2B7CB44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Entre los principales desafíos para la política fiscal, durante 2023 destacó la persistencia de las altas tasas de interés, con un impacto directo en el costo financiero, el cual registró un incremento de 21.5% real respecto a 2022. No obstante, la activa estrategia de manejo financiero y gestión de pasivos del Gobierno Federal permitió que el costo financiero de la deuda se ubicara 3.2% por debajo de lo programado.</w:t>
      </w:r>
    </w:p>
    <w:p w14:paraId="09273FB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2023, la política de financiamiento tuvo como prioridad garantizar la estabilidad de la trayectoria de la deuda como proporción del PIB, financiándose principalmente en el mercado interno con instrumentos a largo plazo y a tasa fija, lo que permitió cubrir las necesidades de financiamiento del Sector Público al menor costo y riesgo posible.</w:t>
      </w:r>
    </w:p>
    <w:p w14:paraId="47F13304"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 xml:space="preserve">En el último trimestre de 2023, el ritmo de crecimiento de la economía global se moderó con respecto al trimestre previo, derivado del menor dinamismo en Europa y China, así como del aumento de los conflictos bélicos en Medio Oriente, los cuales provocaron disrupciones al comercio internacional. Lo anterior generó volatilidad en los mercados en un entorno en que las condiciones financieras mantuvieron su carácter restrictivo debido a las posturas de política monetaria de los principales bancos centrales del mundo. No obstante, los choques de oferta a nivel global continuaron cediendo junto con las presiones inflacionarias ante la normalización en las cadenas de suministro y los menores precios de materias primas. </w:t>
      </w:r>
    </w:p>
    <w:p w14:paraId="0A769C8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inflación en las economías avanzadas mantuvo una trayectoria descendente, aunque más gradual, mostrando persistencia en los precios de servicios asociado a los desfases del mercado laboral y las presiones en los servicios de alojamiento. En el caso de EE.UU., el ritmo de la actividad económica disminuyó con respecto al trimestre previo, aunque en menor magnitud a lo esperado por el consenso al inicio del periodo. El consumo privado presentó la mayor contribución al PIB derivado de la creación de empleo, las menores tasas de inflación y la sólida posición financiera de los hogares. Por sectores, las manufacturas continuaron mostrando un menor dinamismo, mientras que los servicios se desaceleraron. </w:t>
      </w:r>
    </w:p>
    <w:p w14:paraId="01E65DF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China, la economía moderó su crecimiento durante el cuarto trimestre con respecto al previo debido a la menor actividad en el sector inmobiliario y la menor demanda externa. A su vez, en la zona euro, la pérdida de dinamismo en la producción industrial y el menor volumen de exportaciones siguieron pesando sobre la evolución de la actividad económica hacia el cierre de año. Por su parte, se observaron episodios de volatilidad en los mercados de materias primas durante el cuarto trimestre de 2023. Si bien los precios de los energéticos, alimentos e insumos industriales cayeron con respecto al trimestre previo, su comportamiento registró presiones al alza asociadas a los conflictos geopolíticos en Medio Oriente, las tensiones en el Mar Rojo, los fenómenos climatológicos y los nuevos recortes en la producción de petróleo por parte de la OPEP+. </w:t>
      </w:r>
    </w:p>
    <w:p w14:paraId="4E07A34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Así, en un contexto de menores presiones inflacionarias y una tasa de desempleo estable, la FED decidió mantener sin cambios su tasa de política monetaria durante el cuarto trimestre y reconoció estar cerca de la tasa terminal. Con esto se redujo la probabilidad que los mercados financieros asignaban a una posible recesión de la economía de EE.UU. en los meses siguientes, y aumentó la perspectiva de una moderación de la actividad económica generando condiciones financieras más favorables durante el resto del año y una mayor expectativa de recortes en la tasa de interés para 2024.</w:t>
      </w:r>
    </w:p>
    <w:p w14:paraId="59622A1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De acuerdo con la estimación preliminar, el PIB real de EE.UU. registró un crecimiento de 0.8% trimestral en el cuarto trimestre de 2023, con cifras ajustadas por estacionalidad, desacelerándose respecto al crecimiento trimestral de 1.2% observado en el periodo previo. No obstante, esta tasa superó el incremento trimestral de 0.2% esperado por el mercado a inicios del periodo. De esta manera, la actividad económica en EE.UU. registró un crecimiento anual de 2.5% en 2023, por encima del consenso de analistas que, al inicio del mismo año, anticipaba un aumento del PIB de 0.5% anual. El principal impulso a la economía estadounidense en el cuarto trimestre provino del consumo privado. Su contribución al PIB se mantuvo prácticamente sin cambios, en 0.5 </w:t>
      </w:r>
      <w:proofErr w:type="spellStart"/>
      <w:r w:rsidRPr="00A74179">
        <w:rPr>
          <w:rFonts w:ascii="Arial" w:hAnsi="Arial" w:cs="Arial"/>
          <w:sz w:val="18"/>
          <w:szCs w:val="18"/>
        </w:rPr>
        <w:t>pp</w:t>
      </w:r>
      <w:proofErr w:type="spellEnd"/>
      <w:r w:rsidRPr="00A74179">
        <w:rPr>
          <w:rFonts w:ascii="Arial" w:hAnsi="Arial" w:cs="Arial"/>
          <w:sz w:val="18"/>
          <w:szCs w:val="18"/>
        </w:rPr>
        <w:t xml:space="preserve">, con respecto al tercer trimestre. La contribución de la inversión fija bruta permaneció en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el mismo periodo, apoyada por la inversión no residencial, ya que la residencial continuó limitada por las altas tasas hipotecarias. Por su parte, el gasto público contribuyó al crecimiento con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principalmente por la influencia de los gobiernos subnacionales. Los componentes más volátiles, como los inventarios, tuvieron una contribución nula al crecimiento del PIB del cuarto trimestre, mientras que las exportaciones netas contribuyeron con 0.1 </w:t>
      </w:r>
      <w:proofErr w:type="spellStart"/>
      <w:r w:rsidRPr="00A74179">
        <w:rPr>
          <w:rFonts w:ascii="Arial" w:hAnsi="Arial" w:cs="Arial"/>
          <w:sz w:val="18"/>
          <w:szCs w:val="18"/>
        </w:rPr>
        <w:t>pp</w:t>
      </w:r>
      <w:proofErr w:type="spellEnd"/>
      <w:r w:rsidRPr="00A74179">
        <w:rPr>
          <w:rFonts w:ascii="Arial" w:hAnsi="Arial" w:cs="Arial"/>
          <w:sz w:val="18"/>
          <w:szCs w:val="18"/>
        </w:rPr>
        <w:t>, debido al aumento en las exportaciones de servicios.</w:t>
      </w:r>
    </w:p>
    <w:p w14:paraId="25F6610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el cuarto trimestre de 2023, el consumo privado en EE.UU. se desaceleró a una tasa real de 0.7 desde el 0.8% previo, en su variación trimestral. Este comportamiento provino principalmente de un menor ritmo de crecimiento en el rubro de bienes, destacando el consumo de bienes recreativos, que aumentó a un ritmo de 2.6% desde 4.0% en el tercer trimestre, mientras que el rubro de vehículos y autopartes se contrajo 0.3%, al igual que el periodo previo, producto de los altos precios y las condiciones de crédito restrictivas. Por su parte, el gasto en servicios se desaceleró en el rubro de vivienda y cayó en los financieros.</w:t>
      </w:r>
    </w:p>
    <w:p w14:paraId="28EA147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producción industrial en el cuarto trimestre se contrajo 0.8% a tasa trimestral, en comparación con el crecimiento de 0.5% observado en el trimestre previo. Esta caída provino de los tres principales rubros industriales: servicios públicos (- 2.1%), minería (- 0.9%) y manufacturas (- 0.6%), este último con una participación del 75% en el total. La evolución de la producción manufacturera en EE.UU. tuvo un comportamiento volátil durante el periodo afectado por condiciones financieras restrictivas y por disrupciones en sectores específicos como el automotriz. Tal fue el </w:t>
      </w:r>
      <w:r w:rsidRPr="00A74179">
        <w:rPr>
          <w:rFonts w:ascii="Arial" w:hAnsi="Arial" w:cs="Arial"/>
          <w:sz w:val="18"/>
          <w:szCs w:val="18"/>
        </w:rPr>
        <w:lastRenderedPageBreak/>
        <w:t>caso de la huelga ocurrida entre el 15 de septiembre y el 30 de octubre por parte del sindicato de trabajadores de la industria automotriz (UAW, por sus siglas en inglés) que provocó una caída en la producción mensual de vehículos y autopartes de 9.9% en octubre, seguido de un incremento de 7.4 y 1.6% en noviembre y diciembre, respectivamente, mismo que no fue suficiente para recuperar su nivel de producción de septiembre.</w:t>
      </w:r>
    </w:p>
    <w:p w14:paraId="5545C3B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Las presiones inflacionarias en EE.UU. continuaron descendiendo debido a la normalización de las cadenas de suministro y los menores precios de energéticos a nivel global. En específico, el ritmo de variación anual del Índice de Precios al Consumo se desaceleró de 3.7 a 3.4% entre los cierres del tercer y cuarto trimestre. El componente de energéticos restó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diciembre, mientras que el componente de alimentos redujo su incidencia en la inflación anual de 0.5 a 0.4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el mismo periodo, derivado de menores precios en el rubro de alimentos en el hogar como cereales, pan, lácteos, frutas y verduras. Asimismo, la inflación subyacente redujo su ritmo de crecimiento anual de 4.1 a 3.9% entre los cierres del tercer y cuarto trimestre. La incidencia de los servicios continuó en niveles altos con una disminución mínima en su contribución a la inflación general de 3.2 a 3.1 </w:t>
      </w:r>
      <w:proofErr w:type="spellStart"/>
      <w:r w:rsidRPr="00A74179">
        <w:rPr>
          <w:rFonts w:ascii="Arial" w:hAnsi="Arial" w:cs="Arial"/>
          <w:sz w:val="18"/>
          <w:szCs w:val="18"/>
        </w:rPr>
        <w:t>pp</w:t>
      </w:r>
      <w:proofErr w:type="spellEnd"/>
      <w:r w:rsidRPr="00A74179">
        <w:rPr>
          <w:rFonts w:ascii="Arial" w:hAnsi="Arial" w:cs="Arial"/>
          <w:sz w:val="18"/>
          <w:szCs w:val="18"/>
        </w:rPr>
        <w:t xml:space="preserve"> durante el periodo. Al interior, destacó la contribución del subcomponente de alojamiento, que aportó 2.1 </w:t>
      </w:r>
      <w:proofErr w:type="spellStart"/>
      <w:r w:rsidRPr="00A74179">
        <w:rPr>
          <w:rFonts w:ascii="Arial" w:hAnsi="Arial" w:cs="Arial"/>
          <w:sz w:val="18"/>
          <w:szCs w:val="18"/>
        </w:rPr>
        <w:t>pp</w:t>
      </w:r>
      <w:proofErr w:type="spellEnd"/>
      <w:r w:rsidRPr="00A74179">
        <w:rPr>
          <w:rFonts w:ascii="Arial" w:hAnsi="Arial" w:cs="Arial"/>
          <w:sz w:val="18"/>
          <w:szCs w:val="18"/>
        </w:rPr>
        <w:t xml:space="preserve"> a la inflación anual de diciembre. </w:t>
      </w:r>
    </w:p>
    <w:p w14:paraId="0DB50DF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otra parte, el rubro de bienes mantuvo una contribución a la inflación general anual cercana a cero durante todo el cuarto trimestre, como resultado de la normalización en las cadenas globales de valor a nivel mundial. Asimismo, la variación anual del deflactor implícito del gasto en consumo personal (PCE) se desaceleró de 3.4 a 2.6% entre septiembre y diciembre, mientras que el PCE subyacente redujo su ritmo de crecimiento anual de 3.6 a 2.9% en el mismo periodo, principalmente por el componente de servicios. Por su parte, de acuerdo con la Reserva Federal de Nueva York, la mediana de expectativas de inflación anual a doce meses se redujo de 3.7 a 3.0% durante el mismo periodo. Asimismo, las expectativas de mediano plazo, de tres años, se redujeron de 3.0 a 2.6%, mientras que la de cinco años pasaron de 2.8 a 2.5%, aunque todas aún por encima de un nivel consistente con el 2.0% objetivo de la FED.</w:t>
      </w:r>
    </w:p>
    <w:p w14:paraId="10619FD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del año, la actividad económica en la zona euro continuó mostrando un débil desempeño con respecto al trimestre previo. Persistió la pérdida de dinamismo en la demanda interna y el menor volumen de exportaciones con sus principales socios comerciales, en un entorno de desaceleración de la demanda externa. Además, influyó la postura monetaria restrictiva del BCE y su efecto negativo en la producción industrial de la región, en especial en Alemania. Así, en diciembre, los índices de gerentes de compras (PMI, por sus siglas en inglés) apuntaron a una continua desaceleración de la actividad económica, en particular en el sector de manufacturas, mientras que el de servicios mostró mayor resiliencia por la disminución de las presiones inflacionarias y el incremento de los salarios reales que favorece el poder adquisitivo de los hogares. </w:t>
      </w:r>
    </w:p>
    <w:p w14:paraId="6185DF4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Sin embargo, al cerrar el año, ambos indicadores oportunos se ubicaron en terreno de contracción en 44.4 y 48.8 puntos, respectivamente. Lo anterior se reflejó en la confianza empresarial de la industria manufacturera que se contrajo aún más con respecto a septiembre, mientras que la relacionada con los servicios registró cierto optimismo en diciembre (8.4 puntos), siendo éste el más alto desde abril 2023. Asimismo, se observó un repunte de las ventas al menudeo, las cuales reportaron un crecimiento real de 0.2% durante octubre-noviembre, por encima de la contracción de 0.8% registrada en el bimestre previo. Mientras que, si bien el índice de confianza del consumidor continuó sin recuperar su tendencia previa a la pandemia, éste registró en diciembre su mejor nivel en el año, con una mejora de 2.7 puntos respecto a septiembre. </w:t>
      </w:r>
    </w:p>
    <w:p w14:paraId="4CB4E9C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las presiones inflacionarias mantuvieron su tendencia decreciente, aunque aún por encima del objetivo del 2.0% del BCE. La inflación general anual se redujo de 4.3 a 2.9% entre los cierres del tercer y el cuarto trimestre, principalmente debido a la caída en los precios de los energéticos y la desaceleración del componente de los alimentos. Asimismo, la inflación subyacente mostró una reducción de 4.5 a 3.4% en su tasa anual, en el mismo periodo, por una disminución en los precios de bienes y de servicios, aunque estos últimos continuaron elevados debido a una mayor demanda en sectores restauranteros, hoteleros y recreativos.</w:t>
      </w:r>
    </w:p>
    <w:p w14:paraId="7F9DA51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del año, el ritmo de la actividad económica en China se desaceleró a una tasa trimestral real de 1.0%, desde el 1.5% del trimestre previo, en línea con lo esperado por el consenso de analistas de Bloomberg al cierre del año. Este menor dinamismo se atribuyó principalmente a los menores niveles de inversión en el sector inmobiliario y los problemas de acceso al financiamiento que este sector enfrenta. </w:t>
      </w:r>
    </w:p>
    <w:p w14:paraId="7023785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construcción de edificios e inmuebles permaneció en contracción durante 2023, mientras que el índice adelantado de los precios de la vivienda continuó disminuyendo con respecto al periodo previo. Así, la tasa de </w:t>
      </w:r>
      <w:r w:rsidRPr="00A74179">
        <w:rPr>
          <w:rFonts w:ascii="Arial" w:hAnsi="Arial" w:cs="Arial"/>
          <w:sz w:val="18"/>
          <w:szCs w:val="18"/>
        </w:rPr>
        <w:lastRenderedPageBreak/>
        <w:t xml:space="preserve">crecimiento anual del PIB real de China fue de 5.2% en 2023, 0.2 </w:t>
      </w:r>
      <w:proofErr w:type="spellStart"/>
      <w:r w:rsidRPr="00A74179">
        <w:rPr>
          <w:rFonts w:ascii="Arial" w:hAnsi="Arial" w:cs="Arial"/>
          <w:sz w:val="18"/>
          <w:szCs w:val="18"/>
        </w:rPr>
        <w:t>pp</w:t>
      </w:r>
      <w:proofErr w:type="spellEnd"/>
      <w:r w:rsidRPr="00A74179">
        <w:rPr>
          <w:rFonts w:ascii="Arial" w:hAnsi="Arial" w:cs="Arial"/>
          <w:sz w:val="18"/>
          <w:szCs w:val="18"/>
        </w:rPr>
        <w:t xml:space="preserve"> por encima de la estimación oficial del gobierno. Por su parte, la debilidad de la demanda externa y las tensiones geopolíticas entre EE.UU. y China se reflejaron en una contracción en el volumen de exportaciones de 2.3% en el bimestre octubre-noviembre con respecto al bimestre previo, con base en las últimas cifras disponibles a octubre, aunque en el acumulado del año registró un incremento de 13.5%. </w:t>
      </w:r>
    </w:p>
    <w:p w14:paraId="174B12A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el crecimiento de la producción industrial se aceleró a 1.7% a tasa trimestral, ligeramente por arriba del 1.4% del periodo previo. Mientras tanto, las ventas al menudeo apuntaron a un nivel de consumo más moderado de bienes con respecto a servicios durante el cuarto trimestre. En este contexto, por tercer mes consecutivo en el trimestre se registró una deflación, de 0.3% en diciembre, derivado de la ralentización de su actividad económica. Por lo anterior, el gobierno chino implementó nuevas medidas de apoyo durante el cuarto trimestre de 2023. Entre ellas, se llevó a cabo una emisión de deuda soberana por 137 mil millones de dólares para incrementar el gasto gubernamental en infraestructura, una inyección de 200 mil millones de dólares de liquidez al sistema financiero por parte del Banco Popular de China, a través de su línea de crédito de mediano plazo, mientras que las tasas de referencia permanecieron en mínimos históricos para impulsar su economía.</w:t>
      </w:r>
    </w:p>
    <w:p w14:paraId="20CFA0C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2023, los precios de las materias primas cayeron con respecto a los niveles del año previo, históricamente altos, ante los efectos de las políticas monetarias restrictivas y la desaceleración del crecimiento económico global. En particular, al cierre del cuarto trimestre de 2023, el índice de precios de materias primas de Bloomberg (BCOM) presentó una disminución de 5.9% en comparación con el cierre del periodo previo, impulsada principalmente por la caída en los precios de los energéticos. No obstante, su comportamiento también registró presiones al alza asociadas a los conflictos geopolíticos, las restricciones comerciales y el fenómeno climatológico de “El Niño”.</w:t>
      </w:r>
    </w:p>
    <w:p w14:paraId="18FCF09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 2023, las principales economías avanzadas mantuvieron sin cambios sus tasas de referencia, lo que fortaleció la expectativa del fin en el ciclo de alza de tasas a nivel global. En EE.UU., los avances en la reducción en la inflación general, así como en la subyacente, llevó a la FED a mantener sin cambios su tasa de referencia con un rango de 5.25-5.50% durante sus dos reuniones del 1 de noviembre y el 13 de diciembre. Adicionalmente, continuó la reducción de su hoja de balance, situándose en 7.7 billones de dólares al 31 de diciembre, una disminución de 0.3 billones de dólares respecto al cierre del trimestre previo y de 0.8 billones con respecto al inicio del año. </w:t>
      </w:r>
    </w:p>
    <w:p w14:paraId="30E4EDA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la última conferencia de prensa de diciembre, el presidente de la FED, Jerome Powell, reconoció que la tasa de inflación se encuentra en una clara trayectoria descendente y consideró que probablemente se encuentran en o cerca de la tasa máxima del ciclo monetario. Lo anterior se reflejó en sus más recientes proyecciones de diciembre, donde la mayoría de los miembros del Comité de Mercado Abierto estimó una reducción de 75 pb para sus proyecciones de tasa de referencia en 2024, situando la mediana de la tasa de referencia en 4.6%. </w:t>
      </w:r>
    </w:p>
    <w:p w14:paraId="26E984E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No obstante, hacia el cierre del cuarto trimestre de 2023, el mercado de futuros implicó una reducción de tasa más acelerada en 150 pb durante 2024, esperando el primer recorte en la segunda reunión del año en marzo. Por su parte, el BCE decidió mantener las tasas de interés oficiales sin cambio durante el cuarto trimestre de 2023, debido a la desaceleración de las presiones inflacionarias. Por ello, la tasa de depósitos se ubicó en 4.0%, la de refinanciamiento en 4.50% y la de crédito marginal en 4.75% al cierre del trimestre. </w:t>
      </w:r>
    </w:p>
    <w:p w14:paraId="205085C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este contexto, la presidenta del BCE, Christine Lagarde, mencionó en su última conferencia de prensa de diciembre que el banco central realizó las acciones suficientes para que la inflación alcance de manera oportuna su nivel deseado. Esto llevó al mercado a asumir una reducción en la tasa de interés de referencia de 150 pb para el 2024, siendo la reunión de abril donde se esperaría el primer recorte. </w:t>
      </w:r>
    </w:p>
    <w:p w14:paraId="069942C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Asimismo, continuó la reducción en la hoja de balance del BCE y se anunciaron nuevos cambios en el programa de compras de emergencia frente a la pandemia (PEPP, por sus siglas en inglés). Se prevé reinvertir el principal de los valores adquiridos que vayan venciendo durante el primer trimestre de 2024 y comenzar a reducir, a partir del segundo trimestre, la cartera del PEPP en 7.5 miles de millones de euros mensuales en promedio, con el fin de terminar las reinversiones a finales de 2024. </w:t>
      </w:r>
    </w:p>
    <w:p w14:paraId="0290D74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el caso de las economías emergentes, varios bancos centrales continuaron relajando su ciclo monetario mientras otros mantuvieron sus tasas de política durante el cuarto trimestre de 2023. Esto como resultado de la implementación anticipada de una política monetaria restrictiva con respecto a las economías avanzadas, aunado a la tendencia decreciente de las presiones inflacionarias, el anclaje de las expectativas de inflación y en algunos </w:t>
      </w:r>
      <w:r w:rsidRPr="00A74179">
        <w:rPr>
          <w:rFonts w:ascii="Arial" w:hAnsi="Arial" w:cs="Arial"/>
          <w:sz w:val="18"/>
          <w:szCs w:val="18"/>
        </w:rPr>
        <w:lastRenderedPageBreak/>
        <w:t>casos para estimular su actividad económica. En específico, Chile, Brasil, Perú, Uruguay, Colombia y Polonia redujeron sus tasas de referencia en sus últimas reuniones, con disminuciones acumuladas de 125, 100, 75, 75, 25 y 25 pb, respectivamente, durante el cuarto trimestre, mientras que México mantuvo sin cambios su tasa de referencia en el mismo periodo.</w:t>
      </w:r>
    </w:p>
    <w:p w14:paraId="4D08157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 principios del cuarto trimestre de 2023, durante octubre, se observaron episodios de volatilidad y de aversión al riesgo asociados a la expectativa de una postura monetaria con tasas más altas por un periodo prolongado, las tensiones geopolíticas en Medio Oriente y la solidez de algunos indicadores económicos en EE.UU. y China. Como resultado, el índice de volatilidad implícita (VIX) en EE.UU. se ubicó el 20 de octubre de 2023 en 21 puntos, nivel no observado desde marzo del mismo año. Mientras que, el 19 de octubre, los rendimientos de los Bonos del Tesoro en EE. UU. De 2, 5 y 10 años alcanzaron niveles máximos no vistos desde 2007, ubicándose en 5.2, 4.9 y 5.0% respectivamente. </w:t>
      </w:r>
    </w:p>
    <w:p w14:paraId="4FCF5D6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su parte, el índice S&amp;P 500 registró su peor desempeño para el mes de octubre desde 2018 y el dólar, medido por el DXY, alcanzó su nivel más alto del año en este mes con una apreciación de 7.2% con respecto a su nivel más bajo en julio del mismo año. Sin embargo, durante noviembre y diciembre de 2023, la volatilidad y los incrementos significativos en las tasas de mercado, se fueron disipando al aumentar el optimismo de que la FED comenzaría a revertir su ciclo monetario restrictivo en 2024, luego de darse a conocer que la inflación continuó con una trayectoria descendente, los mercados laborales de economías avanzadas mostraban un menor apretamiento, así como una disminución de los temores de un mayor conflicto en Medio Oriente. </w:t>
      </w:r>
    </w:p>
    <w:p w14:paraId="708C16F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Como resultado, el índice VIX cerró el año en 5.1 puntos, por debajo del nivel observado al cierre del tercer trimestre, mientras que las tasas de interés en EE.UU. mostraron reducciones a lo largo de toda la curva de rendimientos, en particular, la tasa a 10 años que se ubicó en 3.9%, reflejando una disminución de 69 pb en relación con el cierre del trimestre previo. Asimismo, el S&amp;P 500 aumentó 11%, en el mismo periodo, alcanzando un máximo del año el 28 de diciembre y el dólar, medido por el DXY, se depreció 4.6%, mientras que se observó una apreciación del euro de 4.4% con respecto al cierre del trimestre previo. </w:t>
      </w:r>
    </w:p>
    <w:p w14:paraId="760700D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los mercados accionarios de economías emergentes reportaron un aumento de 7.4% en el mismo periodo, de acuerdo con el índice bursátil MSCI, en un entorno de mayor apetito por riesgo. Adicionalmente, el riesgo país de economías emergentes, medido por el EMBI+ disminuyó 48 pb durante el periodo referido, mientras que el flujo hacia estas economías presentó una entrada de capitales de 4.6%, particularmente en instrumentos de deuda. Finalmente, se observó una apreciación de 4.3% en el índice MSCI de monedas emergentes con respecto al cierre del trimestre previo, igualmente apoyado por menor precepción de riesgo.</w:t>
      </w:r>
    </w:p>
    <w:p w14:paraId="697629A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el cuarto trimestre de 2023, la economía mexicana continuó creciendo y mostró fortaleza a pesar de diversos desafíos provenientes del sector externo. El impulso de la demanda interna continuó en niveles elevados, aunque el ritmo de crecimiento se moderó respecto al trimestre anterior. No obstante, el crecimiento de la inversión pública y privada aumentó y permitió alcanzar niveles históricamente altos. En su interior, destacó la inversión privada, la cual fue impulsada por los rubros de maquinaria y construcción, y que creció a una tasa anual superior al 20%. </w:t>
      </w:r>
    </w:p>
    <w:p w14:paraId="43C7384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desempeño del sector externo evidenció los retos coyunturales en EE.UU., entre las que se encontraron el cierre de cruces fronterizos y la inspección de camiones en el límite con México que afectó el comercio de mercancías entre ambos países. A lo anterior se sumó la huelga automotriz entre el sindicato de trabajadores de plantas automotrices de EE.UU. y las empresas General Motors, Ford Motors y </w:t>
      </w:r>
      <w:proofErr w:type="spellStart"/>
      <w:r w:rsidRPr="00A74179">
        <w:rPr>
          <w:rFonts w:ascii="Arial" w:hAnsi="Arial" w:cs="Arial"/>
          <w:sz w:val="18"/>
          <w:szCs w:val="18"/>
        </w:rPr>
        <w:t>Stellantis</w:t>
      </w:r>
      <w:proofErr w:type="spellEnd"/>
      <w:r w:rsidRPr="00A74179">
        <w:rPr>
          <w:rFonts w:ascii="Arial" w:hAnsi="Arial" w:cs="Arial"/>
          <w:sz w:val="18"/>
          <w:szCs w:val="18"/>
        </w:rPr>
        <w:t xml:space="preserve">, en los meses de septiembre y octubre de 2023, con repercusiones principales en la industria mexicana de autopartes. </w:t>
      </w:r>
    </w:p>
    <w:p w14:paraId="2B5F287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 pesar de lo anterior, el intercambio comercial con el resto del mundo fue positivo, el turismo continuó creciendo y México recibió flujos elevados de IED, en un ambiente en el que el indicador global de confianza empresarial se encontró en niveles récord. Finalmente, en el sistema financiero, la banca se mantuvo con niveles sanos de capitalización, mientras que los flujos comerciales y financieros hacia el país continuaron ingresando al punto de que las reservas internacionales alcanzaron máximos históricos. En dicho contexto, con base en la estimación oportuna del PIB para el cuarto trimestre de 2023, la actividad económica registró un crecimiento de 0.1% trimestral, con cifras ajustadas por estacionalidad. </w:t>
      </w:r>
    </w:p>
    <w:p w14:paraId="2D7290E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Si bien, dicho aumento se moderó respecto al de los trimestres anteriores, se registraron nueve trimestres de alza trimestral continua. Al interior, las actividades primarias registraron una disminución de 1.1% trimestral, mientras que los servicios aumentaron 0.1% y la producción industrial no registró cambio respecto al periodo anterior. De </w:t>
      </w:r>
      <w:r w:rsidRPr="00A74179">
        <w:rPr>
          <w:rFonts w:ascii="Arial" w:hAnsi="Arial" w:cs="Arial"/>
          <w:sz w:val="18"/>
          <w:szCs w:val="18"/>
        </w:rPr>
        <w:lastRenderedPageBreak/>
        <w:t xml:space="preserve">acuerdo con el Indicador Global de la Actividad Económica (IGAE), entre octubre y noviembre de 2023, la economía mexicana decreció 0.1% bimestral con cifras ajustadas por estacionalidad. Lo anterior se explicó por la caída de la agricultura, la cual estuvo afectada por las condiciones climatológicas en el país, y que no pudo ser compensada con los incrementos de la industria y los servicios. </w:t>
      </w:r>
    </w:p>
    <w:p w14:paraId="48E2878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Estas últimas actividades tuvieron un desempeño positivo por la demanda internacional que aumentó la producción de algunas manufacturas de exportación, mientras que la capacidad productiva benefició a los servicios relacionados con la infraestructura, así como en el sector de la construcción. En particular, el desempeño bimestral de las actividades fue el siguiente, con cifras ajustadas por estacionalidad: </w:t>
      </w:r>
    </w:p>
    <w:p w14:paraId="3576B07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sym w:font="Symbol" w:char="F0B7"/>
      </w:r>
      <w:r w:rsidRPr="00A74179">
        <w:rPr>
          <w:rFonts w:ascii="Arial" w:hAnsi="Arial" w:cs="Arial"/>
          <w:sz w:val="18"/>
          <w:szCs w:val="18"/>
        </w:rPr>
        <w:t xml:space="preserve"> Las actividades primarias retrocedieron 2.6%, luego de presentar alzas en los últimos cuatro bimestres. Lo anterior fue resultado de la afectación de las sequías en algunos cultivos, las cuales se acentuaron en un mayor número de municipios desde septiembre de 2023. </w:t>
      </w:r>
    </w:p>
    <w:p w14:paraId="1795C04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sym w:font="Symbol" w:char="F0B7"/>
      </w:r>
      <w:r w:rsidRPr="00A74179">
        <w:rPr>
          <w:rFonts w:ascii="Arial" w:hAnsi="Arial" w:cs="Arial"/>
          <w:sz w:val="18"/>
          <w:szCs w:val="18"/>
        </w:rPr>
        <w:t xml:space="preserve"> La producción industrial aumentó 0.1%, de manera que acumuló cuatro bimestres de crecimiento continuo, derivado de los incrementos de la construcción y las manufacturas, lo cual compensó el retroceso de la minería y la generación de energía. Con cifras ajustadas por estacionalidad, se describe a continuación el comportamiento sectorial del bimestre octubre a noviembre: </w:t>
      </w:r>
    </w:p>
    <w:p w14:paraId="626FF25E"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La minería se contrajo 0.6% por los servicios relacionados al sector (- 2.5%) derivado, principalmente, de la perforación de pozos petroleros relacionados con las obras de plantas </w:t>
      </w:r>
      <w:proofErr w:type="spellStart"/>
      <w:r w:rsidRPr="00A74179">
        <w:rPr>
          <w:rFonts w:ascii="Arial" w:hAnsi="Arial" w:cs="Arial"/>
          <w:sz w:val="18"/>
          <w:szCs w:val="18"/>
        </w:rPr>
        <w:t>coquizadoras</w:t>
      </w:r>
      <w:proofErr w:type="spellEnd"/>
      <w:r w:rsidRPr="00A74179">
        <w:rPr>
          <w:rFonts w:ascii="Arial" w:hAnsi="Arial" w:cs="Arial"/>
          <w:sz w:val="18"/>
          <w:szCs w:val="18"/>
        </w:rPr>
        <w:t>. En cuanto a los minerales no metálicos y la extracción de petróleo y gas, éstos retrocedieron en 0.4% cada uno.</w:t>
      </w:r>
    </w:p>
    <w:p w14:paraId="711E6F6A"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Después de dos bimestres de crecimientos, la generación de electricidad, agua y suministro de gas disminuyó 0.3%, explicado principalmente por el precio internacional del gas en octubre que incrementó los costos de producción, así como la reducción de la cantidad de agua en las presas que impactó la generación de energía hidráulica y la menor demanda por electricidad en Guerrero tras el huracán Otis. </w:t>
      </w:r>
    </w:p>
    <w:p w14:paraId="582CD750"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Beneficiada por una baja inflación de materiales para el mercado inmobiliario respecto a años anteriores y el aumento del crédito a la vivienda, la construcción creció 1.0% derivado del incremento de la edificación, cuyo crecimiento de 4.7% fue el más alto desde 2020. Los trabajos especializados, al aumentar 2.7% en el bimestre, acumularon tres bimestres de alza continua. La base de comparación retadora afectó a las obras de ingeniería civil y la obra pesada, que cayeron 9.3%. </w:t>
      </w:r>
    </w:p>
    <w:p w14:paraId="6139A47A"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Las manufacturas aumentaron 0.1%, principalmente en aquellas cuya producción tiene como destino el mercado internacional. Así, 12 de 21 industrias crecieron, como la fabricación de maquinaria y equipo (1.0%), el equipo de computación y otros equipos electrónicos (3.5%) y, la fabricación de equipo de transporte (0.8%). Por otro lado, cayeron algunas industrias con destino el mercado nacional, como la alimentaria (- 0.2%), fabricación de insumos textiles (- 3.5%) y productos de cuero y piel (- 2.5%). </w:t>
      </w:r>
    </w:p>
    <w:p w14:paraId="57E050B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sym w:font="Symbol" w:char="F0B7"/>
      </w:r>
      <w:r w:rsidRPr="00A74179">
        <w:rPr>
          <w:rFonts w:ascii="Arial" w:hAnsi="Arial" w:cs="Arial"/>
          <w:sz w:val="18"/>
          <w:szCs w:val="18"/>
        </w:rPr>
        <w:t xml:space="preserve"> Los servicios crecieron 0.1%, prolongando la racha positiva iniciada desde finales de 2021. Lo anterior se derivó del incremento de 8 de los 14 subsectores, principalmente aquellos relacionados a los mayores niveles de inversión en el país. En particular, su comportamiento bimestral fue el siguiente, con cifras ajustadas por estacionalidad: </w:t>
      </w:r>
    </w:p>
    <w:p w14:paraId="66E47A70"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Los servicios que aumentaron fueron: transportes, correos y almacenamiento (0.2%); inmuebles y bienes de </w:t>
      </w:r>
      <w:proofErr w:type="gramStart"/>
      <w:r w:rsidRPr="00A74179">
        <w:rPr>
          <w:rFonts w:ascii="Arial" w:hAnsi="Arial" w:cs="Arial"/>
          <w:sz w:val="18"/>
          <w:szCs w:val="18"/>
        </w:rPr>
        <w:t>alquiler(</w:t>
      </w:r>
      <w:proofErr w:type="gramEnd"/>
      <w:r w:rsidRPr="00A74179">
        <w:rPr>
          <w:rFonts w:ascii="Arial" w:hAnsi="Arial" w:cs="Arial"/>
          <w:sz w:val="18"/>
          <w:szCs w:val="18"/>
        </w:rPr>
        <w:t xml:space="preserve">0.3%); profesionales, científicos y técnicos (0.3%); actividades del gobierno (0.2%); apoyo a los negocios (4.2%); servicios educativos (0.5%); salud y asistencia social (1.0%); y otros servicios (0.2%). </w:t>
      </w:r>
    </w:p>
    <w:p w14:paraId="58F66A3F"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o Dentro de los servicios que presentaron caídas se encontraron: el comercio al por mayor y menor (- 0.2 y - 0.5%, respectivamente); información en medios masivos (- 2.3%); financieros y de seguros (- 0.6%); esparcimiento, culturales y deportivos (- 2.6%); y alojamiento temporal y preparación de alimentos (- 0.3%).</w:t>
      </w:r>
    </w:p>
    <w:p w14:paraId="2085246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cuanto al PIB por el lado del gasto, en el tercer trimestre de 2023, la demanda agregada registró un crecimiento nulo con respecto al trimestre anterior, lo que se explicó por la caída de las exportaciones y el menor ritmo de aumento de la inversión, que no se compensó con el crecimiento del consumo. Adicionalmente, por el lado de la oferta agregada, las importaciones disminuyeron por primera vez en el año. </w:t>
      </w:r>
    </w:p>
    <w:p w14:paraId="2F5199B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 xml:space="preserve">En particular, la reducción de 3.5% trimestral de las exportaciones de bienes y servicios, con cifras ajustadas por estacionalidad, obedeció principalmente al componente no petrolero, en el contexto de la apreciación del peso respecto al dólar estadounidense. Por su parte, el aumento de 4.4% trimestral de la inversión, fue menor que el trimestre previo por la inversión privada, la cual moderó su ritmo luego de fuertes alzas en periodos anteriores. Cabe destacar que la inversión como porcentaje del PIB ascendió a 24.7%, el cual fue el nivel porcentual más alto alcanzado desde 2016. </w:t>
      </w:r>
    </w:p>
    <w:p w14:paraId="5F8616A4"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Los aumentos de la masa salarial y los altos niveles de confianza del consumidor permitieron que el consumo se acelerara trimestralmente y creciera 1.1%, principalmente por el rubro de consumo privado. Por otro lado, la reducción trimestral de 2.3% de las importaciones de bienes y servicios obedeció a los bienes intermedios, particularmente los relacionados con el equipo eléctrico y electrónico, ante una menor demanda externa que repercutió en las importaciones de insumos para la producción nacional. Respecto a los indicadores mensuales de la demanda nacional, el dato más reciente para octubre del consumo privado cayó 0.3% mensual, con cifras ajustadas por estacionalidad. </w:t>
      </w:r>
    </w:p>
    <w:p w14:paraId="7137593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Lo anterior se explicó por el decremento de los bienes importados en 1.6% mensual, luego de alcanzar un nivel máximo histórico en el mes anterior. En su interior, retrocedieron las mercancías duraderas y </w:t>
      </w:r>
      <w:proofErr w:type="spellStart"/>
      <w:r w:rsidRPr="00A74179">
        <w:rPr>
          <w:rFonts w:ascii="Arial" w:hAnsi="Arial" w:cs="Arial"/>
          <w:sz w:val="18"/>
          <w:szCs w:val="18"/>
        </w:rPr>
        <w:t>semiduraderas</w:t>
      </w:r>
      <w:proofErr w:type="spellEnd"/>
      <w:r w:rsidRPr="00A74179">
        <w:rPr>
          <w:rFonts w:ascii="Arial" w:hAnsi="Arial" w:cs="Arial"/>
          <w:sz w:val="18"/>
          <w:szCs w:val="18"/>
        </w:rPr>
        <w:t xml:space="preserve">, mientras que los bienes importados esenciales hilaron cuatro meses al alza. Adicionalmente, si bien los servicios nacionales disminuyeron en 0.7% mensual, su nivel continúa dentro de los más altos desde que se tiene registro. A la par, los bienes nacionales aumentaron en 0.4% mensual por las alzas de los bienes duraderos y </w:t>
      </w:r>
      <w:proofErr w:type="spellStart"/>
      <w:r w:rsidRPr="00A74179">
        <w:rPr>
          <w:rFonts w:ascii="Arial" w:hAnsi="Arial" w:cs="Arial"/>
          <w:sz w:val="18"/>
          <w:szCs w:val="18"/>
        </w:rPr>
        <w:t>semiduraderos</w:t>
      </w:r>
      <w:proofErr w:type="spellEnd"/>
      <w:r w:rsidRPr="00A74179">
        <w:rPr>
          <w:rFonts w:ascii="Arial" w:hAnsi="Arial" w:cs="Arial"/>
          <w:sz w:val="18"/>
          <w:szCs w:val="18"/>
        </w:rPr>
        <w:t>.</w:t>
      </w:r>
    </w:p>
    <w:p w14:paraId="366D3F7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Referente a la cifra más reciente de la inversión fija bruta, en octubre se registró un alza mensual de 1.9%, con cifras ajustadas por estacionalidad. Con ello, se recuperó el nivel previo luego de su caída en septiembre. Lo anterior reflejó los altos niveles de la confianza empresarial, así como las inversiones en infraestructura por parte del sector público y la relocalización de cadenas productivas del sector privado. </w:t>
      </w:r>
    </w:p>
    <w:p w14:paraId="5B359B6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su interior, la construcción aumentó en 4.0% mensual, derivado del alza de la construcción residencial en 11.3% —el mayor aumento desde abril de 2015, sin considerar 2020— y la no residencial en 1.6%. Por su parte, la maquinaria y equipo importada decreció en 0.5% de septiembre a octubre y la de origen nacional en 1.7% en el mismo periodo, siendo que en ambos casos el equipo de transporte fue el menos afectado.</w:t>
      </w:r>
    </w:p>
    <w:p w14:paraId="2C66088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sectores económicos, en el cuarto trimestre de 2023, la industria presentó el mayor dinamismo en el empleo con un crecimiento trimestral de 179 mil personas ocupadas. En su interior, destacó el aumento de las manufacturas (131 mil) y la construcción (46 mil). Por su parte, si bien los servicios disminuyeron su personal ocupado en 120 mil personas, algunos servicios aumentaron como servicios sociales (78 mil), transporte, correo y almacenamiento (61 mil), gobierno y organismos internacionales (25 mil) y restaurantes y servicios de alojamiento (24 mil). Asimismo, las actividades primarias, que fueron afectadas por la escasez de trabajadores y por factores climáticos adversos, disminuyeron en 379 mil personas durante el cuarto trimestre. </w:t>
      </w:r>
    </w:p>
    <w:p w14:paraId="0C3701D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Con el incremento en el nivel de ocupación, la tasa de participación laboral registró un promedio de 60.4% en el cuarto trimestre, con lo que en el promedio del año se alcanzó la mayor tasa desde 2013. Lo anterior se explicó por el aumento de la población económicamente activa, particularmente de las mujeres, debido a las mejores condiciones laborales, lo cual también condujo a que la tasa de participación promedio de 2023 de ese segmento alcanzara un nuevo máximo desde que inició el registro estadístico en 2005 (46.2%). Por otro lado, en el cuarto trimestre de 2023, la tasa de informalidad laboral se ubicó en un promedio de 54.6%, siendo inferior en 0.5 </w:t>
      </w:r>
      <w:proofErr w:type="spellStart"/>
      <w:r w:rsidRPr="00A74179">
        <w:rPr>
          <w:rFonts w:ascii="Arial" w:hAnsi="Arial" w:cs="Arial"/>
          <w:sz w:val="18"/>
          <w:szCs w:val="18"/>
        </w:rPr>
        <w:t>pp</w:t>
      </w:r>
      <w:proofErr w:type="spellEnd"/>
      <w:r w:rsidRPr="00A74179">
        <w:rPr>
          <w:rFonts w:ascii="Arial" w:hAnsi="Arial" w:cs="Arial"/>
          <w:sz w:val="18"/>
          <w:szCs w:val="18"/>
        </w:rPr>
        <w:t xml:space="preserve"> al trimestre anterior, con lo que consolidó su tendencia a la baja. A su vez, la tasa de desocupación registró un promedio de 2.7%, con lo cual en 2023 se ubicó en el nivel más bajo desde que se tiene registro (2.8%). </w:t>
      </w:r>
    </w:p>
    <w:p w14:paraId="167A16D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su interior, la mayor reducción en la población desocupada se observó en el grupo de edad de 25 a 44 años (- 99 mil), seguido de 15 a 24 años (- 67 mil) y de 45 a 64 años (- 25 mil). Además, la población con un nivel de instrucción medio superior y superior se redujo en 114 mil respecto al trimestre anterior, lo cual fue superior a la caída trimestral de la población con hasta seis años de escolaridad (- 17 mil). Finalmente, la población </w:t>
      </w:r>
      <w:proofErr w:type="spellStart"/>
      <w:r w:rsidRPr="00A74179">
        <w:rPr>
          <w:rFonts w:ascii="Arial" w:hAnsi="Arial" w:cs="Arial"/>
          <w:sz w:val="18"/>
          <w:szCs w:val="18"/>
        </w:rPr>
        <w:t>subocupada</w:t>
      </w:r>
      <w:proofErr w:type="spellEnd"/>
      <w:r w:rsidRPr="00A74179">
        <w:rPr>
          <w:rFonts w:ascii="Arial" w:hAnsi="Arial" w:cs="Arial"/>
          <w:sz w:val="18"/>
          <w:szCs w:val="18"/>
        </w:rPr>
        <w:t xml:space="preserve"> disminuyó en 114 mil personas respecto al trimestre anterior, de tal manera que la tasa de subocupación promedio en el trimestre fue de 7.9%, inferior a los dos trimestres anteriores. En cuanto a la población disponible para trabajar, ésta se redujo respecto al trimestre anterior en 25 mil personas, principalmente por la población que considera que hay más posibilidades para encontrar empleo. Con relación a los empleos reportados por el IMSS, </w:t>
      </w:r>
      <w:r w:rsidRPr="00A74179">
        <w:rPr>
          <w:rFonts w:ascii="Arial" w:hAnsi="Arial" w:cs="Arial"/>
          <w:sz w:val="18"/>
          <w:szCs w:val="18"/>
        </w:rPr>
        <w:lastRenderedPageBreak/>
        <w:t xml:space="preserve">a diciembre de 2023 se registraron 651 mil nuevas plazas, lo cual se encontró por arriba de su promedio histórico (631 mil) por tercer año consecutivo. </w:t>
      </w:r>
    </w:p>
    <w:p w14:paraId="715A205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Además, con cifras ajustadas por estacionalidad, en diciembre de 2023 los empleos aumentaron en 124 mil respecto a septiembre del mismo año derivado del incremento de las plazas permanentes en más de 90 mil. Mientras tanto, los empleos eventuales aumentaron en 7 mil durante el mismo periodo, principalmente en el sector de la construcción. Por sectores económicos, el crecimiento de los empleos a diciembre de 2023 se observó en el comercio (173 mil), los servicios de empresas y hogares (144 mil), la construcción (136 mil), el transporte (90 mil), las manufacturas (72 mil), los servicios sociales (48 mil) y electricidad (2 mil). Por su parte, el sector agropecuario y la industria extractiva concentraron los retrocesos de 10 mil y 4 mil, respectivamente. En cuanto al empleo regional, con datos del IMSS, al cierre de 2023, 29 estados registraron crecimientos anuales. </w:t>
      </w:r>
    </w:p>
    <w:p w14:paraId="1272479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Entre éstos, destacaron los aumentos en la Ciudad de México (79 mil), Nuevo León (75 mil), Estado de México (64 mil), Jalisco (62 mil) y Guanajuato (43 mil), los cuales concentraron el 50% del total de las plazas. Por otra parte, disminuyó anualmente el empleo en Guerrero (- 3 mil) debido al impacto del huracán Otis; en Tabasco (- 2 mil) derivado de una menor contratación en la construcción de la refinería de Dos Bocas; y en Durango (- 230) por una menor demanda de empleos en el sector de las manufacturas. En cuanto a los salarios reales promedio registrados en el IMSS, éstos continuaron su racha positiva y crecieron 6.0% durante el cuarto trimestre, de manera que registraron 24 trimestres consecutivos de crecimientos. </w:t>
      </w:r>
    </w:p>
    <w:p w14:paraId="713F3DE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Los mayores aumentos se dieron en los sectores de construcción (10.3%), agricultura (10.1%), manufacturas (6.9%) y los servicios para empresas y hogares (6.2%). Por regiones, los salarios del IMSS tuvieron el mayor incremento real anual del trimestre en el norte (6.9%), seguido del sur (5.9%), y el centro (5.4%). Con información de la ENOE, el salario real tuvo un crecimiento anual de 9.0% en el promedio del trimestre. Finalmente, los salarios contractuales en la jurisdicción federal tuvieron un aumento real anual 2.5%, en beneficio 422 mil trabajadores.</w:t>
      </w:r>
    </w:p>
    <w:p w14:paraId="241E2BA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Así, en el cuarto trimestre de 2023, la inflación general anual disminuyó por quinto trimestre consecutivo y alcanzó la menor tasa anual desde el primer trimestre de 2021; al promediar 4.4% anual, disminuyó en 0.2 </w:t>
      </w:r>
      <w:proofErr w:type="spellStart"/>
      <w:r w:rsidRPr="00A74179">
        <w:rPr>
          <w:rFonts w:ascii="Arial" w:hAnsi="Arial" w:cs="Arial"/>
          <w:sz w:val="18"/>
          <w:szCs w:val="18"/>
        </w:rPr>
        <w:t>pp</w:t>
      </w:r>
      <w:proofErr w:type="spellEnd"/>
      <w:r w:rsidRPr="00A74179">
        <w:rPr>
          <w:rFonts w:ascii="Arial" w:hAnsi="Arial" w:cs="Arial"/>
          <w:sz w:val="18"/>
          <w:szCs w:val="18"/>
        </w:rPr>
        <w:t xml:space="preserve"> respecto al trimestre previo. En su interior, la inflación subyacente se ubicó en 5.3% anual, menor en 0.9 </w:t>
      </w:r>
      <w:proofErr w:type="spellStart"/>
      <w:r w:rsidRPr="00A74179">
        <w:rPr>
          <w:rFonts w:ascii="Arial" w:hAnsi="Arial" w:cs="Arial"/>
          <w:sz w:val="18"/>
          <w:szCs w:val="18"/>
        </w:rPr>
        <w:t>pp</w:t>
      </w:r>
      <w:proofErr w:type="spellEnd"/>
      <w:r w:rsidRPr="00A74179">
        <w:rPr>
          <w:rFonts w:ascii="Arial" w:hAnsi="Arial" w:cs="Arial"/>
          <w:sz w:val="18"/>
          <w:szCs w:val="18"/>
        </w:rPr>
        <w:t xml:space="preserve"> respecto al tercer trimestre de 2023. En cambio, la inflación del componente no subyacente se ubicó en 1.8% anual, con lo que aumentó en 1.7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comparación con el trimestre anterior. </w:t>
      </w:r>
    </w:p>
    <w:p w14:paraId="674AE79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Puntualmente, la tendencia a la baja en la inflación subyacente anual obedeció a que el rubro de mercancías se situó en 5.3%, lo cual fue 1.7 </w:t>
      </w:r>
      <w:proofErr w:type="spellStart"/>
      <w:r w:rsidRPr="00A74179">
        <w:rPr>
          <w:rFonts w:ascii="Arial" w:hAnsi="Arial" w:cs="Arial"/>
          <w:sz w:val="18"/>
          <w:szCs w:val="18"/>
        </w:rPr>
        <w:t>pp</w:t>
      </w:r>
      <w:proofErr w:type="spellEnd"/>
      <w:r w:rsidRPr="00A74179">
        <w:rPr>
          <w:rFonts w:ascii="Arial" w:hAnsi="Arial" w:cs="Arial"/>
          <w:sz w:val="18"/>
          <w:szCs w:val="18"/>
        </w:rPr>
        <w:t xml:space="preserve"> inferior respecto al trimestre previo derivado de algunos alimentos procesados, artículos para el cuidado personal, televisores y automóviles. Adicionalmente, al ubicarse en 5.3% anual, la inflación de servicios aumentó en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del trimestre anterior, explicado principalmente por los servicios de telefonía móvil, turísticos y educativos. En contraparte, otros genéricos redujeron las presiones al disminuir su inflación, dentro de los cuales se encuentran los servicios relacionados con alimentos, servicios médicos y mantenimiento de automóvil.</w:t>
      </w:r>
    </w:p>
    <w:p w14:paraId="1C5609A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ese contexto, durante el cuarto trimestre de 2023, el valor de las exportaciones no petroleras disminuyó 0.7% trimestral, con cifras ajustadas por estacionalidad. En su interior, se registró una contracción de 0.8% en las exportaciones manufactureras automotrices, 0.5% en las exportaciones no automotrices, como la maquinaria y equipo, y de 7.4% en las extractivas. Lo anterior contrarrestó el aumento de 0.9% observado en las exportaciones agropecuarias durante el mismo período. </w:t>
      </w:r>
    </w:p>
    <w:p w14:paraId="36B33B0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cuanto al destino de las exportaciones manufactureras, en el cuarto trimestre de 2023 y con datos ajustados por estacionalidad, el valor de aquellas dirigidas a EE.UU. se redujo 0.8% trimestral. Detrás de este resultado se encontró la caída de 1.3% de las exportaciones automotrices, explicada por la huelga del sindicato automotriz estadounidense y la disminución de 0.5% trimestral del valor de las no automotrices. Por su parte, el valor de las exportaciones manufactureras destinadas al resto del mundo decreció 0.2% trimestral; sin embargo, destacó que el valor de las automotrices aumentó 1.3% trimestral, principalmente de aquellas dirigidas a Canadá. </w:t>
      </w:r>
    </w:p>
    <w:p w14:paraId="32DD47E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otra parte, el valor de las exportaciones de productos petroleros se redujo 4.9% trimestral. Este resultado se atribuyó principalmente a la caída del precio de la mezcla mexicana de exportación en 2.8% trimestral, así como a una reducción de 8.7% en el volumen de crudo exportado. Aunado a lo anterior, el valor de las importaciones no petroleras disminuyó 1.1% trimestral, una vez descontado el efecto estacional. Este comportamiento obedeció a la caída de los bienes intermedios no petroleros (- 1.8%) y de capital (- 1.5%). </w:t>
      </w:r>
    </w:p>
    <w:p w14:paraId="4937AC5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 xml:space="preserve">En el caso de los bienes intermedios, éstos respondieron a una menor demanda de los productos finales, en donde destacó la reducción en el valor de las importaciones de equipo eléctrico y electrónico, así como de aparatos ópticos y médicos. No obstante, las importaciones de consumo no petrolero aumentaron 3.5% durante el trimestre. El valor de las importaciones petroleras decreció 15.2% trimestral por la caída de los precios internacionales de los petrolíferos como la gasolina, el diésel y el gas LP. </w:t>
      </w:r>
    </w:p>
    <w:p w14:paraId="155F20E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su interior, destacó la reducción durante el bimestre de octubre a noviembre y con datos ajustados por estacionalidad4 de los componentes de gas natural, gasolina y diésel en 0.6, 23.2 y 14.4% respectivamente. De esta manera, la balanza comercial mostró un superávit de 4 mil 620 millones de dólares en el cuarto trimestre de 2023, lo que contrastó con el déficit de 3 mil 740 millones del trimestre anterior. </w:t>
      </w:r>
    </w:p>
    <w:p w14:paraId="3D193D3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cambio se debió al aumento del superávit en la balanza no petrolera de 6 mil 528 millones de dólares, frente a los 534 millones del periodo anterior. Además, la balanza petrolera redujo su déficit, al pasar de 4 mil 274 millones a mil 908 millones de dólares en el mismo periodo.</w:t>
      </w:r>
    </w:p>
    <w:p w14:paraId="296B626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cuanto a la cuenta corriente, la información más reciente disponible al tercer trimestre de 2023 reveló un saldo superavitario de 2 mil 628 millones de dólares, equivalente al 0.6% del PIB con datos anualizados. Este saldo contrastó con el déficit registrado en el mismo trimestre de 2022, que ascendió a 6 mil 387 millones de dólares, lo que representó un déficit de 1.7% del PIB. El cambio anual en la cuenta corriente se atribuyó principalmente a que la balanza no petrolera pasó de un déficit en el mismo periodo de 2022 a un superávit y al incremento de los ingresos por remesas, así como la reducción del déficit en la balanza comercial petrolera y del déficit en la balanza de ingreso primario. </w:t>
      </w:r>
    </w:p>
    <w:p w14:paraId="2B88450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Estos factores fueron compensados parcialmente por un aumento del saldo deficitario de la balanza de servicios. En consonancia con el desempeño de la cuenta corriente, se observó una salida de recursos en la cuenta financiera que implicó un préstamo neto de México al resto del mundo por un monto de 4 mil 316 millones de dólares. Este resultado contrastó con la entrada neta de 7 mil 11 millones de dólares registrado en el mismo periodo del año anterior. </w:t>
      </w:r>
    </w:p>
    <w:p w14:paraId="28E96B6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Dicho comportamiento resultó de la mayor salida de recursos en el rubro de inversión de cartera, así como a una menor entrada de recursos en otras inversiones por las sociedades no financieras, hogares e instituciones sin fines de lucro al servicio de los hogares. Mientras que, la inversión directa y los derivados financieros registraron una salida de recursos, contrario a lo observado en el mismo trimestre de 2022, principalmente por la salida de inversión directa de mexicanos al exterior.</w:t>
      </w:r>
    </w:p>
    <w:p w14:paraId="5DED0705" w14:textId="77777777" w:rsid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 2023, el sistema financiero mexicano experimentó condiciones financieras relativamente más favorables con respecto al trimestre previo, en especial hacia el cierre del año, derivado de la expectativa del fin del ciclo de alza de tasas en EE.UU. Como resultado, el peso mexicano mostró una apreciación con respecto al dólar, las tasas de interés soberanas y el riesgo país disminuyeron, el mercado accionario reportó ganancias y el crédito bancario siguió incrementándose, con niveles de capitalización elevados y baja morosidad. Al 29 de diciembre, el tipo de cambio se ubicó en 17.0 pesos por dólar estadounidense, lo que representó una apreciación de 2.7% respecto al nivel observado al 29 de septiembre de 2023. </w:t>
      </w:r>
    </w:p>
    <w:p w14:paraId="6E0BA4EB" w14:textId="77777777" w:rsid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Dicha apreciación estuvo en línea con otras economías emergentes, tales como el peso colombiano, el real brasileño y el rand sudafricano de 5.5, 3.6, y 3.1%, respectivamente. Por su parte, la volatilidad implícita del tipo de cambio a un mes durante el cuarto trimestre se ubicó en 11.2%, 0.6 </w:t>
      </w:r>
      <w:proofErr w:type="spellStart"/>
      <w:r w:rsidRPr="00A74179">
        <w:rPr>
          <w:rFonts w:ascii="Arial" w:hAnsi="Arial" w:cs="Arial"/>
          <w:sz w:val="18"/>
          <w:szCs w:val="18"/>
        </w:rPr>
        <w:t>pp</w:t>
      </w:r>
      <w:proofErr w:type="spellEnd"/>
      <w:r w:rsidRPr="00A74179">
        <w:rPr>
          <w:rFonts w:ascii="Arial" w:hAnsi="Arial" w:cs="Arial"/>
          <w:sz w:val="18"/>
          <w:szCs w:val="18"/>
        </w:rPr>
        <w:t xml:space="preserve"> por arriba del promedio del trimestre previo. La fortaleza del tipo de cambio en México se debe a los sólidos fundamentales macroeconómicos, el bajo déficit en cuenta corriente, la estabilidad política y social del país, así como el amplio diferencial de tasas de referencia con EE.UU. </w:t>
      </w:r>
    </w:p>
    <w:p w14:paraId="7F7A453A" w14:textId="69333F2E"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el Banco de México mantuvo sin cambios su tasa de interés objetivo en 11.25% en sus dos últimas reuniones del año, el 9 de noviembre y el 14 de diciembre de 2023. Asimismo, en su último anuncio de política monetaria, la Junta de Gobierno expresó preocupación en torno a la persistencia de la inflación subyacente que, si bien continuó descendiendo, mostró presiones asociadas a los precios de mercancías alimenticias y servicios. Por tal motivo, el banco central revisó al alza sus proyecciones de inflación general y subyacente, anticipando una convergencia a la meta hacia el segundo trimestre de 2025.</w:t>
      </w:r>
    </w:p>
    <w:p w14:paraId="0010561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otro lado, la aversión al riesgo hacia economías emergentes disminuyó durante el cuarto trimestre. Los CDS a cinco años para la deuda soberana de México se ubicaron en 88.5 pb al 29 de diciembre, 39 pb por debajo del </w:t>
      </w:r>
      <w:r w:rsidRPr="00A74179">
        <w:rPr>
          <w:rFonts w:ascii="Arial" w:hAnsi="Arial" w:cs="Arial"/>
          <w:sz w:val="18"/>
          <w:szCs w:val="18"/>
        </w:rPr>
        <w:lastRenderedPageBreak/>
        <w:t xml:space="preserve">valor observado al cierre de septiembre, y 52 pb por debajo del promedio de 2022. Esta disminución se mantuvo en línea con lo observado en otros países que mantienen la misma calificación crediticia que México para su deuda soberana de largo plazo, como Italia y Perú, cuyo riesgo crediticio disminuyó en 29.4 y 16.4, respectivamente, mientras que el de Panamá aumentó 29.1 durante el mismo periodo. </w:t>
      </w:r>
    </w:p>
    <w:p w14:paraId="3DD6CC9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cuanto al mercado de renta fija, se observaron disminuciones generalizadas en las tasas de interés a lo largo de la curva de rendimientos, principalmente en los nodos de mediano y largo plazo. Lo anterior, como respuesta a la expectativa del mercado de que el Banco de México comenzará a reducir su tasa de política monetaria en 2024, de acuerdo con el último comunicado, en línea con lo esperado en otras economías avanzadas, en especial EE.UU. Así, la pendiente de 10 y 2 años se mantuvo negativa, ubicándose en - 96 pb al 29 de diciembre, mientras que el rendimiento de los bonos del Gobierno Federal en moneda nacional a 10 años se ubicó en 8.9%, lo cual reflejó una reducción de 93 pb en relación con el cierre del trimestre previo.</w:t>
      </w:r>
    </w:p>
    <w:p w14:paraId="7701697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Estado de Tlaxcala cuenta con una población cercana a 1.3 millones de habitantes, siendo el Estado más pequeño del país en términos de producción económica, por lo que la economía del Estado no es comparable con otras Entidades Federativas.</w:t>
      </w:r>
    </w:p>
    <w:p w14:paraId="61C4B30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esta industria, continúe con su dinamismo en el mediano plazo.</w:t>
      </w:r>
    </w:p>
    <w:p w14:paraId="201063D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La política fiscal que se implementará en el ejercicio 2024, tendrá como finalidad mantener un balance presupuestario positivo, procurando que las fuentes de ingreso financien el gasto corriente del ejercicio, por lo que se estima que se sigan registrando márgenes operativos positivos en 2024 y 2025, aunque menores a los observados en ejercicios anteriores. Los resultados financieros balanceados y la política de deuda conservadora, han permitido que desde el ejercicio 2008 el Estado de Tlaxcala haya registrado una posición libre de endeudamiento.</w:t>
      </w:r>
    </w:p>
    <w:p w14:paraId="469EF31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Se espera que el Estado de Tlaxcala siga registrando márgenes operativos positivos en 2024 y 2025 aunque menores a los observados en años previos a la pandemia, debido principalmente a la disminución en las transferencias federales no etiquetadas (participaciones) en 2024, las cuales son equivalentes al 44% de los ingresos operativos. Si bien se prevé que las participaciones se ubiquen por debajo de lo programado, ante la reducción de la recaudación federal participable, es importante mencionar que el Gobierno Federal llevó a cabo una potenciación del Fondo de Estabilización de los Ingresos de las Entidades Federativas (FEIEF) con miras a proteger la disponibilidad de recursos de los Estados y Municipios. 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57B4624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Estado ha registrado resultados financieros positivos durante los últimos cinco años, ya que los ingresos totales crecieron a una tasa compuesta anual del 3.2%, similar a la tasa de gastos totales. Se espera que durante 2024 y 2025 Tlaxcala registre superávits financieros aunado a un mayor gasto de capital para el periodo en cuestión.</w:t>
      </w:r>
    </w:p>
    <w:p w14:paraId="34BE33E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Se estima que para 2024, los ingresos propios se mantengan en niveles estables similares a los de 2023, en línea con las previsiones efectuadas por el Gobierno Federal. La liquidez del Estado de Tlaxcala es un factor que permite enfrentar choques externos imprevistos, por lo que se espera que el efectivo del Estado cubra al menos el 1.0% de los pasivos promedio para 2024 y 2025, como resultado del buen manejo del presupuesto.</w:t>
      </w:r>
    </w:p>
    <w:p w14:paraId="5189191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Indicador Trimestral de la Actividad Económica Estatal (ITAEE), reveló para el caso de Tlaxcala que la variación trimestral de la actividad económica fue de 1.5% a tasa anual respecto al mismo periodo de 2022, con lo que la economía del Estado de Tlaxcala se ha mantenido fluctuante, ubicándose por debajo de la media nacional que es de 3.3%.</w:t>
      </w:r>
    </w:p>
    <w:p w14:paraId="38DB4C7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cuanto a las actividades primarias, la media nacional del Indicador Trimestral de la Actividad Económica se ubicó en 5.7% con respecto al mismo </w:t>
      </w:r>
      <w:proofErr w:type="gramStart"/>
      <w:r w:rsidRPr="00A74179">
        <w:rPr>
          <w:rFonts w:ascii="Arial" w:hAnsi="Arial" w:cs="Arial"/>
          <w:sz w:val="18"/>
          <w:szCs w:val="18"/>
        </w:rPr>
        <w:t>trimestre</w:t>
      </w:r>
      <w:proofErr w:type="gramEnd"/>
      <w:r w:rsidRPr="00A74179">
        <w:rPr>
          <w:rFonts w:ascii="Arial" w:hAnsi="Arial" w:cs="Arial"/>
          <w:sz w:val="18"/>
          <w:szCs w:val="18"/>
        </w:rPr>
        <w:t xml:space="preserve"> pero del año anterior, indicador que colocó a Tlaxcala en 9.2% de </w:t>
      </w:r>
      <w:r w:rsidRPr="00A74179">
        <w:rPr>
          <w:rFonts w:ascii="Arial" w:hAnsi="Arial" w:cs="Arial"/>
          <w:sz w:val="18"/>
          <w:szCs w:val="18"/>
        </w:rPr>
        <w:lastRenderedPageBreak/>
        <w:t>variación anual, principalmente por el comportamiento de la agricultura, cría y explotación de animales. Con ello, Tlaxcala se situó en el lugar 11 a nivel nacional.</w:t>
      </w:r>
    </w:p>
    <w:p w14:paraId="418E0DD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Respecto a las actividades secundarias que comprende los sectores dedicados a la industria de la minería, manufacturas, construcción y electricidad con corte al tercer trimestre del año 2023 y en comparación con el 2022, la variación de la entidad tlaxcalteca fue de -1.6% mientras que la media nacional fue de 4.3%, ubicando a Tlaxcala en el lugar 26 de entre las 32 Entidades Federativas del país.</w:t>
      </w:r>
    </w:p>
    <w:p w14:paraId="128E1254"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otro lado, las actividades terciarias que incluyen los sectores dedicados a la distribución de bienes y aquellas actividades relativas a operaciones con información o con activos, así como a servicios cuyo insumo principal es el conocimiento y la experiencia de personal. Incluyen también todo lo relacionado con la recreación y el gobierno, crecieron en su comparativo anual un 3.1%, cuando la media nacional fue de 2.7%, lo que ubicó a Tlaxcala en el lugar 11 a nivel nacional, siendo el Estado de Oaxaca quien generó una mayor variación positiva con un 5.4%.</w:t>
      </w:r>
    </w:p>
    <w:p w14:paraId="17FA555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el tercer trimestre de 2023 y con cifras desestacionalizadas, las entidades federativas que registraron los incrementos más pronunciados en su actividad económica, respecto al trimestre anterior, fueron: Quintana Roo, Nayarit, Aguascalientes, Nuevo León, San Luis Potosí, Sonora y Yucatán.</w:t>
      </w:r>
    </w:p>
    <w:p w14:paraId="5FF45C7E" w14:textId="58B74688" w:rsidR="00A74179" w:rsidRPr="00A74179" w:rsidRDefault="00A74179" w:rsidP="00A74179">
      <w:pPr>
        <w:tabs>
          <w:tab w:val="left" w:pos="284"/>
        </w:tabs>
        <w:ind w:left="284"/>
        <w:jc w:val="center"/>
        <w:rPr>
          <w:rFonts w:ascii="Arial" w:hAnsi="Arial" w:cs="Arial"/>
          <w:sz w:val="18"/>
          <w:szCs w:val="18"/>
        </w:rPr>
      </w:pPr>
      <w:r w:rsidRPr="00A74179">
        <w:rPr>
          <w:rFonts w:ascii="Arial" w:hAnsi="Arial" w:cs="Arial"/>
          <w:noProof/>
          <w:sz w:val="18"/>
          <w:szCs w:val="18"/>
          <w:lang w:eastAsia="es-MX"/>
        </w:rPr>
        <w:drawing>
          <wp:inline distT="0" distB="0" distL="0" distR="0" wp14:anchorId="5B8A452E" wp14:editId="7D80FEAE">
            <wp:extent cx="4246880" cy="4431665"/>
            <wp:effectExtent l="0" t="0" r="1270" b="6985"/>
            <wp:docPr id="7909693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31459" t="25598" r="32687" b="7814"/>
                    <a:stretch>
                      <a:fillRect/>
                    </a:stretch>
                  </pic:blipFill>
                  <pic:spPr bwMode="auto">
                    <a:xfrm>
                      <a:off x="0" y="0"/>
                      <a:ext cx="4246880" cy="4431665"/>
                    </a:xfrm>
                    <a:prstGeom prst="rect">
                      <a:avLst/>
                    </a:prstGeom>
                    <a:noFill/>
                    <a:ln>
                      <a:noFill/>
                    </a:ln>
                  </pic:spPr>
                </pic:pic>
              </a:graphicData>
            </a:graphic>
          </wp:inline>
        </w:drawing>
      </w:r>
    </w:p>
    <w:p w14:paraId="3C8D279D" w14:textId="77777777" w:rsid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Al mes de febrero de 2024 la tasa de ocupación reflejó una participación del 1% al total nacional, presentando un incremento de 1,060, puestos de trabajo permanentes respecto a diciembre de 2023. Al mes de febrero de 2024, se tienen registrados 115,440 trabajadores asegurados en el IMSS, tal y como se muestra en los cuadros siguientes:</w:t>
      </w:r>
    </w:p>
    <w:p w14:paraId="7ECF1ABB" w14:textId="77777777" w:rsidR="00A74179" w:rsidRDefault="00A74179" w:rsidP="00A74179">
      <w:pPr>
        <w:tabs>
          <w:tab w:val="left" w:pos="284"/>
        </w:tabs>
        <w:ind w:left="284"/>
        <w:jc w:val="both"/>
        <w:rPr>
          <w:rFonts w:ascii="Arial" w:hAnsi="Arial" w:cs="Arial"/>
          <w:sz w:val="18"/>
          <w:szCs w:val="18"/>
        </w:rPr>
      </w:pPr>
    </w:p>
    <w:p w14:paraId="6E7F3374" w14:textId="77777777" w:rsidR="00A74179" w:rsidRDefault="00A74179" w:rsidP="00A74179">
      <w:pPr>
        <w:tabs>
          <w:tab w:val="left" w:pos="284"/>
        </w:tabs>
        <w:ind w:left="284"/>
        <w:jc w:val="both"/>
        <w:rPr>
          <w:rFonts w:ascii="Arial" w:hAnsi="Arial" w:cs="Arial"/>
          <w:sz w:val="18"/>
          <w:szCs w:val="18"/>
        </w:rPr>
      </w:pPr>
    </w:p>
    <w:p w14:paraId="2E4CD144" w14:textId="77777777" w:rsidR="00A74179" w:rsidRDefault="00A74179" w:rsidP="00A74179">
      <w:pPr>
        <w:tabs>
          <w:tab w:val="left" w:pos="284"/>
        </w:tabs>
        <w:ind w:left="284"/>
        <w:jc w:val="both"/>
        <w:rPr>
          <w:rFonts w:ascii="Arial" w:hAnsi="Arial" w:cs="Arial"/>
          <w:sz w:val="18"/>
          <w:szCs w:val="18"/>
        </w:rPr>
      </w:pPr>
    </w:p>
    <w:p w14:paraId="5DE6FDAD" w14:textId="77777777" w:rsidR="00A74179" w:rsidRDefault="00A74179" w:rsidP="00A74179">
      <w:pPr>
        <w:tabs>
          <w:tab w:val="left" w:pos="284"/>
        </w:tabs>
        <w:ind w:left="284"/>
        <w:jc w:val="both"/>
        <w:rPr>
          <w:rFonts w:ascii="Arial" w:hAnsi="Arial" w:cs="Arial"/>
          <w:sz w:val="18"/>
          <w:szCs w:val="18"/>
        </w:rPr>
      </w:pPr>
    </w:p>
    <w:p w14:paraId="40481ECA" w14:textId="77777777" w:rsidR="00A74179" w:rsidRDefault="00A74179" w:rsidP="00A74179">
      <w:pPr>
        <w:tabs>
          <w:tab w:val="left" w:pos="284"/>
        </w:tabs>
        <w:ind w:left="284"/>
        <w:jc w:val="both"/>
        <w:rPr>
          <w:rFonts w:ascii="Arial" w:hAnsi="Arial" w:cs="Arial"/>
          <w:sz w:val="18"/>
          <w:szCs w:val="18"/>
        </w:rPr>
      </w:pPr>
    </w:p>
    <w:p w14:paraId="1B402453" w14:textId="77777777" w:rsidR="00A74179" w:rsidRPr="00A74179" w:rsidRDefault="00A74179" w:rsidP="00A74179">
      <w:pPr>
        <w:tabs>
          <w:tab w:val="left" w:pos="284"/>
        </w:tabs>
        <w:ind w:left="284"/>
        <w:jc w:val="both"/>
        <w:rPr>
          <w:rFonts w:ascii="Arial" w:hAnsi="Arial" w:cs="Arial"/>
          <w:sz w:val="18"/>
          <w:szCs w:val="18"/>
        </w:rPr>
      </w:pPr>
    </w:p>
    <w:p w14:paraId="0E3583B6" w14:textId="468D78CB"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noProof/>
          <w:sz w:val="18"/>
          <w:szCs w:val="18"/>
          <w:lang w:eastAsia="es-MX"/>
        </w:rPr>
        <w:drawing>
          <wp:inline distT="0" distB="0" distL="0" distR="0" wp14:anchorId="628CDC96" wp14:editId="4965EEB6">
            <wp:extent cx="6050238" cy="6543040"/>
            <wp:effectExtent l="0" t="0" r="8255" b="0"/>
            <wp:docPr id="21373226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l="25948" t="20334" r="23318" b="7254"/>
                    <a:stretch>
                      <a:fillRect/>
                    </a:stretch>
                  </pic:blipFill>
                  <pic:spPr bwMode="auto">
                    <a:xfrm>
                      <a:off x="0" y="0"/>
                      <a:ext cx="6057952" cy="6551382"/>
                    </a:xfrm>
                    <a:prstGeom prst="rect">
                      <a:avLst/>
                    </a:prstGeom>
                    <a:noFill/>
                    <a:ln>
                      <a:noFill/>
                    </a:ln>
                  </pic:spPr>
                </pic:pic>
              </a:graphicData>
            </a:graphic>
          </wp:inline>
        </w:drawing>
      </w:r>
    </w:p>
    <w:p w14:paraId="4E48A9AA" w14:textId="66839EDF"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noProof/>
          <w:sz w:val="18"/>
          <w:szCs w:val="18"/>
          <w:lang w:eastAsia="es-MX"/>
        </w:rPr>
        <w:lastRenderedPageBreak/>
        <w:drawing>
          <wp:inline distT="0" distB="0" distL="0" distR="0" wp14:anchorId="50F74F64" wp14:editId="5B63B5DA">
            <wp:extent cx="5943600" cy="4378960"/>
            <wp:effectExtent l="0" t="0" r="0" b="2540"/>
            <wp:docPr id="1986370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l="22466" t="20882" r="23669" b="8522"/>
                    <a:stretch>
                      <a:fillRect/>
                    </a:stretch>
                  </pic:blipFill>
                  <pic:spPr bwMode="auto">
                    <a:xfrm>
                      <a:off x="0" y="0"/>
                      <a:ext cx="5943600" cy="4378960"/>
                    </a:xfrm>
                    <a:prstGeom prst="rect">
                      <a:avLst/>
                    </a:prstGeom>
                    <a:noFill/>
                    <a:ln>
                      <a:noFill/>
                    </a:ln>
                  </pic:spPr>
                </pic:pic>
              </a:graphicData>
            </a:graphic>
          </wp:inline>
        </w:drawing>
      </w:r>
      <w:r w:rsidRPr="00A74179">
        <w:rPr>
          <w:rFonts w:ascii="Arial" w:hAnsi="Arial" w:cs="Arial"/>
          <w:sz w:val="18"/>
          <w:szCs w:val="18"/>
        </w:rPr>
        <w:t>De acuerdo al Directorio Estadístico Nacional de Unidades Económicas, Tlaxcala cuenta con 82,801 Unidades Económicas al mes de abril de 2024, en los rubros siguientes:</w:t>
      </w:r>
    </w:p>
    <w:p w14:paraId="5ED6ED5A" w14:textId="2E4FF708" w:rsidR="00A74179" w:rsidRPr="00A74179" w:rsidRDefault="00A74179" w:rsidP="00A74179">
      <w:pPr>
        <w:tabs>
          <w:tab w:val="left" w:pos="284"/>
        </w:tabs>
        <w:ind w:left="284"/>
        <w:jc w:val="center"/>
        <w:rPr>
          <w:rFonts w:ascii="Arial" w:hAnsi="Arial" w:cs="Arial"/>
          <w:sz w:val="18"/>
          <w:szCs w:val="18"/>
        </w:rPr>
      </w:pPr>
      <w:r w:rsidRPr="00A74179">
        <w:rPr>
          <w:rFonts w:ascii="Arial" w:hAnsi="Arial" w:cs="Arial"/>
          <w:noProof/>
          <w:sz w:val="18"/>
          <w:szCs w:val="18"/>
          <w:lang w:eastAsia="es-MX"/>
        </w:rPr>
        <w:drawing>
          <wp:inline distT="0" distB="0" distL="0" distR="0" wp14:anchorId="3AAD948F" wp14:editId="7E3E4562">
            <wp:extent cx="3511606" cy="3550285"/>
            <wp:effectExtent l="0" t="0" r="0" b="0"/>
            <wp:docPr id="3729560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5131" cy="3563959"/>
                    </a:xfrm>
                    <a:prstGeom prst="rect">
                      <a:avLst/>
                    </a:prstGeom>
                    <a:noFill/>
                    <a:ln>
                      <a:noFill/>
                    </a:ln>
                  </pic:spPr>
                </pic:pic>
              </a:graphicData>
            </a:graphic>
          </wp:inline>
        </w:drawing>
      </w:r>
    </w:p>
    <w:p w14:paraId="765C7693" w14:textId="77777777" w:rsidR="00A74179" w:rsidRPr="00A74179" w:rsidRDefault="00A74179" w:rsidP="00A74179">
      <w:pPr>
        <w:ind w:left="2127"/>
        <w:jc w:val="both"/>
        <w:rPr>
          <w:rFonts w:ascii="Arial" w:hAnsi="Arial" w:cs="Arial"/>
          <w:sz w:val="10"/>
          <w:szCs w:val="10"/>
        </w:rPr>
      </w:pPr>
      <w:r w:rsidRPr="00A74179">
        <w:rPr>
          <w:rFonts w:ascii="Arial" w:hAnsi="Arial" w:cs="Arial"/>
          <w:sz w:val="10"/>
          <w:szCs w:val="10"/>
        </w:rPr>
        <w:t>FUENTE: INEGI. DENUE. Abril 2024.</w:t>
      </w:r>
    </w:p>
    <w:p w14:paraId="64D2262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Lo que representa una participación del 1% del Estado en el total nacional. Al cuarto trimestre de 2023 la Población Económicamente Activa (PEA) ascendió a 669,000 personas, representando el 61% de la población en edad de trabajar. Del total de la PEA, el 96% está ocupada y el 4% se encuentra desocupada.</w:t>
      </w:r>
    </w:p>
    <w:p w14:paraId="6F5A913A" w14:textId="04D9EEC4"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noProof/>
          <w:sz w:val="18"/>
          <w:szCs w:val="18"/>
          <w:lang w:eastAsia="es-MX"/>
        </w:rPr>
        <w:drawing>
          <wp:inline distT="0" distB="0" distL="0" distR="0" wp14:anchorId="3028F4A3" wp14:editId="007B4ABD">
            <wp:extent cx="5943292" cy="6957392"/>
            <wp:effectExtent l="0" t="0" r="635" b="0"/>
            <wp:docPr id="4741087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l="24414" t="25224" r="25429" b="7628"/>
                    <a:stretch>
                      <a:fillRect/>
                    </a:stretch>
                  </pic:blipFill>
                  <pic:spPr bwMode="auto">
                    <a:xfrm>
                      <a:off x="0" y="0"/>
                      <a:ext cx="5961778" cy="6979032"/>
                    </a:xfrm>
                    <a:prstGeom prst="rect">
                      <a:avLst/>
                    </a:prstGeom>
                    <a:noFill/>
                    <a:ln>
                      <a:noFill/>
                    </a:ln>
                  </pic:spPr>
                </pic:pic>
              </a:graphicData>
            </a:graphic>
          </wp:inline>
        </w:drawing>
      </w:r>
    </w:p>
    <w:p w14:paraId="0082641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Al cuarto trimestre de 2023, la Inversión Extranjera Directa Acumulada del año 2006 al mes de diciembre de 2023 en el Estado de Tlaxcala fue de 3,213.6 millones de dólares, lo que representó un aporte del 0.1% al total nacional, instalándose empresas de diversas nacionalidades, tal y como se observa en el cuadro comparativo siguiente:</w:t>
      </w:r>
    </w:p>
    <w:p w14:paraId="2547AB17" w14:textId="3ADA2532" w:rsidR="00A74179" w:rsidRPr="00A74179" w:rsidRDefault="00A74179" w:rsidP="00A74179">
      <w:pPr>
        <w:tabs>
          <w:tab w:val="left" w:pos="284"/>
        </w:tabs>
        <w:ind w:left="284"/>
        <w:jc w:val="center"/>
        <w:rPr>
          <w:rFonts w:ascii="Arial" w:hAnsi="Arial" w:cs="Arial"/>
          <w:sz w:val="18"/>
          <w:szCs w:val="18"/>
        </w:rPr>
      </w:pPr>
      <w:r w:rsidRPr="00A74179">
        <w:rPr>
          <w:rFonts w:ascii="Arial" w:hAnsi="Arial" w:cs="Arial"/>
          <w:noProof/>
          <w:sz w:val="18"/>
          <w:szCs w:val="18"/>
          <w:lang w:eastAsia="es-MX"/>
        </w:rPr>
        <w:lastRenderedPageBreak/>
        <w:drawing>
          <wp:inline distT="0" distB="0" distL="0" distR="0" wp14:anchorId="2E3DDE05" wp14:editId="5EE78DB9">
            <wp:extent cx="6055775" cy="4675367"/>
            <wp:effectExtent l="0" t="0" r="2540" b="0"/>
            <wp:docPr id="1283855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0308" cy="4694308"/>
                    </a:xfrm>
                    <a:prstGeom prst="rect">
                      <a:avLst/>
                    </a:prstGeom>
                    <a:noFill/>
                    <a:ln>
                      <a:noFill/>
                    </a:ln>
                  </pic:spPr>
                </pic:pic>
              </a:graphicData>
            </a:graphic>
          </wp:inline>
        </w:drawing>
      </w:r>
    </w:p>
    <w:p w14:paraId="497B632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2024.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04789B0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21A3381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1D81D320" w14:textId="5E6D52DB"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Organización y Objeto Social</w:t>
      </w:r>
    </w:p>
    <w:p w14:paraId="188D414D"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w:t>
      </w:r>
      <w:r>
        <w:rPr>
          <w:rFonts w:ascii="Arial" w:hAnsi="Arial" w:cs="Arial"/>
          <w:sz w:val="18"/>
          <w:szCs w:val="18"/>
        </w:rPr>
        <w:lastRenderedPageBreak/>
        <w:t>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7E0EF62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1F06CF9A" w14:textId="0DA42F77"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635703B6"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1C3642DF"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68B0321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4A7F58DA"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28086A1" w14:textId="3E8DB4A5"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Políticas de Contabilidad Significativas</w:t>
      </w:r>
    </w:p>
    <w:p w14:paraId="67B98363"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52F24FF2"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lastRenderedPageBreak/>
        <w:t>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34F1CEB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3B94B14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5261C65C" w14:textId="0A47A4EA"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0C03A1E6" w14:textId="69BEA28C" w:rsidR="00420656" w:rsidRDefault="00420656" w:rsidP="00420656">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710020B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p>
    <w:p w14:paraId="01B532B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p>
    <w:p w14:paraId="3484CCB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41C1330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 Nuevas reglas de disciplina financiera que contemplan mecanismos de equilibrio presupuestario y de distribución de ingresos excedentes;</w:t>
      </w:r>
    </w:p>
    <w:p w14:paraId="2E78D84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b) Un sistema de alertas, el cual mide los niveles de endeudamiento, del servicio de la deuda y las condiciones de liquidez de las entidades federativas, los municipios y sus entes públicos, y</w:t>
      </w:r>
    </w:p>
    <w:p w14:paraId="6D0EE7C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6AF9E1D7"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w:t>
      </w:r>
      <w:r>
        <w:rPr>
          <w:rFonts w:ascii="Arial" w:hAnsi="Arial" w:cs="Arial"/>
          <w:sz w:val="18"/>
          <w:szCs w:val="18"/>
        </w:rPr>
        <w:lastRenderedPageBreak/>
        <w:t xml:space="preserve">autónomos, en particular, el Instituto Nacional de Transparencia, Acceso a la Información y Protección de Datos Personales (INAI), y el Instituto Federal de Telecomunicaciones (IFT). </w:t>
      </w:r>
    </w:p>
    <w:p w14:paraId="06FCC248"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43BC011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 particular, el SHRFSP incluye las obligaciones financieras netas del Instituto para la Protección al Ahorro Bancario (IPAB) y el programa de apoyo a deudores, las obligaciones de los </w:t>
      </w:r>
      <w:proofErr w:type="spellStart"/>
      <w:r>
        <w:rPr>
          <w:rFonts w:ascii="Arial" w:hAnsi="Arial" w:cs="Arial"/>
          <w:sz w:val="18"/>
          <w:szCs w:val="18"/>
        </w:rPr>
        <w:t>Pidiregas</w:t>
      </w:r>
      <w:proofErr w:type="spellEnd"/>
      <w:r>
        <w:rPr>
          <w:rFonts w:ascii="Arial" w:hAnsi="Arial" w:cs="Arial"/>
          <w:sz w:val="18"/>
          <w:szCs w:val="18"/>
        </w:rPr>
        <w:t>, las obligaciones derivadas del entonces Fideicomiso de Apoyo para el Rescate de Autopistas Concesionadas (FARAC), hoy Fondo Nacional de Infraestructura (</w:t>
      </w:r>
      <w:proofErr w:type="spellStart"/>
      <w:r>
        <w:rPr>
          <w:rFonts w:ascii="Arial" w:hAnsi="Arial" w:cs="Arial"/>
          <w:sz w:val="18"/>
          <w:szCs w:val="18"/>
        </w:rPr>
        <w:t>Fonadin</w:t>
      </w:r>
      <w:proofErr w:type="spellEnd"/>
      <w:r>
        <w:rPr>
          <w:rFonts w:ascii="Arial" w:hAnsi="Arial" w:cs="Arial"/>
          <w:sz w:val="18"/>
          <w:szCs w:val="18"/>
        </w:rPr>
        <w:t>); y el patrimonio de las Instituciones de Fomento.</w:t>
      </w:r>
    </w:p>
    <w:p w14:paraId="286ABC7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cierre de 2023, la deuda pública mantuvo una estructura sólida y se financió principalmente en el mercado interno, con instrumentos a largo plazo y a tasa fija. Además, se continuó con la implementación de una gestión de riesgos mediante la diversificación del portafolio de deuda y el fortalecimiento del programa de coberturas, lo que permitió cubrir las necesidades de financiamiento del Gobierno Federal al menor costo y riesgo posibles. </w:t>
      </w:r>
    </w:p>
    <w:p w14:paraId="5CD7BCC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Durante el trimestre se realizaron operaciones de manejo de pasivos para mantener un perfil de vencimientos favorable y reducir presiones de liquidez. El 5 de octubre, se realizó una operación de refinanciamiento mediante el intercambio de valores gubernamentales por un monto de 103 mil millones de pesos.</w:t>
      </w:r>
    </w:p>
    <w:p w14:paraId="66DA8EC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23 de octubre, se realizó una operación de refinanciamiento por un monto de 34 mil 636 millones de pesos y una colocación por 36 mil 608 millones de pesos. Para fortalecer el desarrollo del mercado local de Bonos Sostenibles, el 25 de octubre se realizó una emisión de Bondes G, por un monto de 15 mil millones de pesos, la cual fue referencia de bajo riesgo para emisiones corporativas. El financiamiento externo continuó como fuente complementaria de crédito; sin embargo, en el cuarto trimestre del 2023, no se accedió a los mercados internacionales. </w:t>
      </w:r>
    </w:p>
    <w:p w14:paraId="514F90D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No obstante, para consolidar la curva de rendimiento sostenible y ampliar la participación de inversionistas, se realizaron dos operaciones a lo largo del año por un monto total de 6 mil 941 millones de dólares, las cuales permitieron cubrir necesidades de liquidez, así como aprovechar condiciones de financiamiento externo favorables y optimizar el portafolio de bonos en moneda extranjera. </w:t>
      </w:r>
    </w:p>
    <w:p w14:paraId="4C71E97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Cabe resaltar que todas las colocaciones de deuda se apegaron al Programa Anual de Financiamiento 2023, y fueron congruentes con lo estipulado por la Ley Federal de Deuda Pública y se mantuvieron en línea con los techos de endeudamiento aprobados por el H. Congreso de la Unión para el ejercicio fiscal 2023.</w:t>
      </w:r>
    </w:p>
    <w:p w14:paraId="4915D1B2"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cuarto trimestre de 2023, la deuda neta del Gobierno Federal se ubicó en 12 billones 710 mil 635.1 millones de pesos. La estructura del portafolio de la deuda mantuvo la mayor parte de sus pasivos denominados en moneda nacional, representando, al 31 de diciembre de 2023, el 84.2% del saldo de la deuda neta del Gobierno Federal.</w:t>
      </w:r>
    </w:p>
    <w:p w14:paraId="41441F4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cierre del cuarto trimestre de 2023, el saldo de la deuda interna neta del Gobierno Federal ascendió a 10 billones 699 mil 546.7 millones de pesos. La variación del saldo de la deuda interna respecto del cierre de 2022 fue el resultado de: </w:t>
      </w:r>
    </w:p>
    <w:p w14:paraId="756A595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i) Un endeudamiento interno neto por 1 billón 170 mil 435.7 millones de pesos; </w:t>
      </w:r>
    </w:p>
    <w:p w14:paraId="67A2B13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ii) Un decremento en las disponibilidades del Gobierno Federal por 146 mil 675.4 millones de pesos; y, </w:t>
      </w:r>
    </w:p>
    <w:p w14:paraId="7E6FA59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iii) Ajustes contables positivos por 120 mil 661.5 millones de pesos, derivados del efecto inflacionario de la deuda interna indizada y del ajuste por las operaciones de permuta de deuda. Este desempeño fue congruente con el techo de endeudamiento interno neto aprobado por el H. Congreso de la Unión para 2023.</w:t>
      </w:r>
    </w:p>
    <w:p w14:paraId="2F4EFFC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Entre los cierres de 2022 y 2023, los Cetes incrementaron su participación en el saldo total de los valores gubernamentales al pasar de 9.1% a 11.5%, al igual que los Bondes F que pasaron de 13.9% a 14.9%; los </w:t>
      </w:r>
      <w:proofErr w:type="spellStart"/>
      <w:r>
        <w:rPr>
          <w:rFonts w:ascii="Arial" w:hAnsi="Arial" w:cs="Arial"/>
          <w:sz w:val="18"/>
          <w:szCs w:val="18"/>
        </w:rPr>
        <w:t>Udibonos</w:t>
      </w:r>
      <w:proofErr w:type="spellEnd"/>
      <w:r>
        <w:rPr>
          <w:rFonts w:ascii="Arial" w:hAnsi="Arial" w:cs="Arial"/>
          <w:sz w:val="18"/>
          <w:szCs w:val="18"/>
        </w:rPr>
        <w:t xml:space="preserve"> que pasaron de 29.5% a 29.8%; y, los Bondes G al pasar de 0.5% a 0.7%. Por su parte, la participación de los Bonos Tasa Fija Bono MS se situó en 0.2%. </w:t>
      </w:r>
    </w:p>
    <w:p w14:paraId="34EBB09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 xml:space="preserve">Mientras tanto, los Bonos Tasa Fija Bono M disminuyeron su participación al pasar de 41.6% a 40.6%, al igual que los Bondes D que pasaron de 5.4% a 2.3%. Con respecto al perfil de amortizaciones de la deuda interna del Gobierno Federal, de acuerdo con su saldo contractual registrado al 31 de diciembre de 2023, se espera que, durante 2024, las amortizaciones alcancen un monto de 2 billones 95 mil 479.2 millones de pesos. </w:t>
      </w:r>
    </w:p>
    <w:p w14:paraId="3264BD7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Del total de amortizaciones, 1 billón 157 mil 603.7 millones de pesos sin incluir Cetes, se encuentran asociadas a los vencimientos de valores gubernamentales, cuyo refinanciamiento se realizará a través del programa de subastas que lleva a cabo el Gobierno Federal.</w:t>
      </w:r>
    </w:p>
    <w:p w14:paraId="1016F91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 pesar de encontrarse fuera del trimestre reportado, es importante mencionar que el 17 de enero de 2024, la SHCP realizó el primer intercambio de deuda del año por 110 mil millones de pesos como parte de la política de refinanciamiento del Gobierno Federal del mercado local. La operación consistió en la recompra de instrumentos de Cetes y Bondes F con vencimiento en 2024 y la realización de una venta a mayor plazo de estos instrumentos.</w:t>
      </w:r>
    </w:p>
    <w:p w14:paraId="46B13C6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cierre de 2023, el saldo de la deuda externa neta del Gobierno Federal fue de 118 mil 844.6 millones de dólares. La evolución de la deuda externa neta del Gobierno Federal durante el periodo enero a diciembre de 2023 fue resultado de los siguientes factores: </w:t>
      </w:r>
    </w:p>
    <w:p w14:paraId="23260412"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Endeudamiento externo neto de 3 mil 318.8 millones de dólares, derivado de disposiciones por 7 mil 677.1 millones de dólares y amortizaciones por 4 mil 358.3 millones de dólares. </w:t>
      </w:r>
    </w:p>
    <w:p w14:paraId="5F2376C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Disminución de los activos internacionales del Gobierno Federal asociados a la deuda externa por 64.7 millones de dólares con respecto al cierre de 2022. Este cambio se debe a la variación en el saldo neto denominado en dólares de la Cuenta General de la Tesorería de la Federación.</w:t>
      </w:r>
    </w:p>
    <w:p w14:paraId="49B9F79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Ajustes contables positivos por 523.1 millones de dólares, derivados de la variación del dólar con respecto a otras monedas en las que se encuentra contratada la deuda.</w:t>
      </w:r>
    </w:p>
    <w:p w14:paraId="55CC68F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Las amortizaciones de la deuda externa del Gobierno Federal durante 2024, con base en su saldo contractual al 31 de diciembre de 2023, serán por 3 mil 265.3 millones de dólares, los cuales se encuentran asociados, principalmente, a los vencimientos de créditos contratados con los Organismos Financieros Internacionales (</w:t>
      </w:r>
      <w:proofErr w:type="spellStart"/>
      <w:r>
        <w:rPr>
          <w:rFonts w:ascii="Arial" w:hAnsi="Arial" w:cs="Arial"/>
          <w:sz w:val="18"/>
          <w:szCs w:val="18"/>
        </w:rPr>
        <w:t>OFIs</w:t>
      </w:r>
      <w:proofErr w:type="spellEnd"/>
      <w:r>
        <w:rPr>
          <w:rFonts w:ascii="Arial" w:hAnsi="Arial" w:cs="Arial"/>
          <w:sz w:val="18"/>
          <w:szCs w:val="18"/>
        </w:rPr>
        <w:t>).</w:t>
      </w:r>
    </w:p>
    <w:p w14:paraId="6C43B52B"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En el último trimestre de 2023 no se realizaron emisiones de bonos en los mercados financieros internacionales, en línea con el compromiso de utilizar el crédito externo como fuente de financiamiento complementaria, sólo cuando se puedan alcanzar condiciones favorables de financiamiento. En 2023 el Gobierno Federal llevó a cabo dos operaciones en el mercado internacional, por un monto total de 6 mil 941 millones de dólares. con el objetivo de continuar con mejoras en el perfil de vencimientos de la deuda externa de mercado. Además, se intercambiaron bonos sin etiquetar por una nueva referencia ASG y se logró un desendeudamiento del portafolio de deuda externa por 368 millones de dólares.</w:t>
      </w:r>
    </w:p>
    <w:p w14:paraId="583D8EE7"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 pesar de encontrarse fuera del trimestre reportado, para mantener la transparencia en la información, es importante mencionar que el 2 de enero de 2024 la SHCP realizó la primera colocación del año en el mercado externo por 7 mil 500 millones de dólares. La transacción consistió en bonos a 5, 12 y 30 años, con tasas de rendimiento de 5.07%, 6.09% y 6.45%, y cupón de 5.00%, 6.00% y 6.40%, respectivamente. Esta operación mejoró la liquidez y eficiencia de la curva de rendimiento de los bonos en dólares.</w:t>
      </w:r>
    </w:p>
    <w:p w14:paraId="37C0292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El 18 de enero, se realizó la colocación de un bono sostenible, por un monto de 2 mil millones de euros a un plazo de 8 años y con una tasa cupón del 4.49%. A la fecha, esta operación es la emisión sostenible con mayor demanda en el mercado de euros y, con ella, se completó el desarrollo de la curva sostenible a corto, mediano y largo plazo en euros. La emisión se basó en la lista de Gastos Elegibles de 2024, acorde con estándares internacionales y las mejores prácticas. Con esta emisión el Gobierno de México reafirmó su liderazgo y compromiso con las finanzas sostenibles.</w:t>
      </w:r>
    </w:p>
    <w:p w14:paraId="7CC901E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 el cuarto trimestre de 2023, el Gobierno Federal realizó erogaciones por concepto de costo financiero neto total de su deuda por 269 mil 287.1 millones de pesos (Ramo 24). Con ello, el total de pagos durante el periodo de enero a diciembre de 2023 por dicho concepto ascendió a 823 mil 974.3 millones de pesos. Esta cifra comprende erogaciones por 753 mil 194.6 millones de pesos para el pago de intereses y gastos asociados a la deuda interna, la cual incluye un monto de 7 mil 500.3 millones de pesos para el pago anticipado de intereses derivados del intercambio de deuda a través de las operaciones de permuta de deuda, así como erogaciones por un monto de 5 </w:t>
      </w:r>
      <w:r>
        <w:rPr>
          <w:rFonts w:ascii="Arial" w:hAnsi="Arial" w:cs="Arial"/>
          <w:sz w:val="18"/>
          <w:szCs w:val="18"/>
        </w:rPr>
        <w:lastRenderedPageBreak/>
        <w:t>mil 637.5 millones de dólares para cubrir el pago por concepto de intereses, comisiones y gastos asociados principalmente a la deuda externa.</w:t>
      </w:r>
    </w:p>
    <w:p w14:paraId="24143A1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Adicionalmente, en el cuarto trimestre de 2023, el Gobierno Federal no realizó erogaciones para los Programas de Apoyo a Ahorradores y Deudores de la Banca (Ramo 34), por lo que, el total pagado por este concepto en el periodo de enero a diciembre de 2023 fue de 54 mil 216.5 millones de pesos. Estos recursos se destinaron al Programa de Apoyo a Ahorradores a través del IPAB.</w:t>
      </w:r>
    </w:p>
    <w:p w14:paraId="4734214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La estrategia de gestión del portafolio de deuda priorizó la contratación de deuda en el mercado interno, a tasas de interés fijas y de largo plazo. Asimismo, se implementó una gestión de riesgos, mediante la diversificación del portafolio de deuda y la implementación de un programa de coberturas. Lo anterior, mantuvo acotada la sensibilidad del costo financiero de la deuda ante aumentos en la tasa de interés, hecho que fortaleció al portafolio de deuda y mitigó la volatilidad en el servicio de la deuda, tanto en el corto como en el mediano plazo. </w:t>
      </w:r>
    </w:p>
    <w:p w14:paraId="110E2AE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Las tasas implícitas de costo financiero estimadas en el cuarto trimestre de 2023 fueron de 7.09, 7.50 y 5.13% para la deuda total, deuda interna y deuda externa, respectivamente.</w:t>
      </w:r>
    </w:p>
    <w:p w14:paraId="1EAD0817"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término del cuarto trimestre de 2023, el saldo de la deuda con garantía explícita del Gobierno Federal se ubicó en 319 mil 297.9 millones de pesos, monto superior en 10 mil 999.4 millones de pesos al observado al cierre del año anterior. Dentro de los Programas de Apoyo a Deudores se encontró el Programa de Reestructuración en </w:t>
      </w:r>
      <w:proofErr w:type="spellStart"/>
      <w:r>
        <w:rPr>
          <w:rFonts w:ascii="Arial" w:hAnsi="Arial" w:cs="Arial"/>
          <w:sz w:val="18"/>
          <w:szCs w:val="18"/>
        </w:rPr>
        <w:t>Udis</w:t>
      </w:r>
      <w:proofErr w:type="spellEnd"/>
      <w:r>
        <w:rPr>
          <w:rFonts w:ascii="Arial" w:hAnsi="Arial" w:cs="Arial"/>
          <w:sz w:val="18"/>
          <w:szCs w:val="18"/>
        </w:rPr>
        <w:t xml:space="preserve">, mediante el cual se ofrecieron tasas reales fijas a los acreditados durante toda la vida de sus créditos, lo que requirió que el Gobierno Federal realizara un intercambio entre esta tasa y una tasa nominal de mercado. </w:t>
      </w:r>
    </w:p>
    <w:p w14:paraId="22821398"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31 de diciembre de 2023, el resultado preliminar de este intercambio ascendió a 28 mil 486.7 millones de pesos, mismos que no están incorporados en las obligaciones garantizadas reportadas por el Gobierno Federal, ya que su evolución futura es contingente al comportamiento de las tasas de interés.</w:t>
      </w:r>
    </w:p>
    <w:p w14:paraId="0DC3BC7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finalizar el cuarto trimestre de 2023, el saldo de la deuda interna neta del Sector Público se ubicó en 11 billones 250 mil 462 millones de pesos. La variación de este saldo al cierre de 2023, respecto al de 2022, fue el resultado de los siguientes factores: i) un endeudamiento interno neto por 1 billón 308 mil 165.2 millones de pesos; ii) una variación positiva en los activos internos del Sector Público por 11 mil 372.6 millones de pesos y iii) ajustes contables positivos por 127 mil 231.2 millones de pesos, que reflejaron, principalmente, el efecto inflacionario sobre los pasivos indizados a esta variable y operaciones de permuta de deuda.</w:t>
      </w:r>
    </w:p>
    <w:p w14:paraId="3326769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Con base en el saldo contractual de la deuda interna del Sector Público registrado al 31 de diciembre de 2023, las amortizaciones durante el año 2024 serán de 2 billones 357 mil 601.8 millones de pesos. De este monto, el 93.4% se encuentra asociado a los vencimientos de valores colocados en los mercados nacionales.</w:t>
      </w:r>
    </w:p>
    <w:p w14:paraId="0192235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término del cuarto trimestre de 2023, el saldo de la deuda externa neta del Sector Público se ubicó en 213 mil 76.5 millones de dólares. La evolución de la deuda externa neta del Sector Público fue resultado de los siguientes factores: i) un desendeudamiento externo neto de 3 mil 707.2 millones de dólares; ii) los activos internacionales del Sector Público asociados a la deuda externa presentaron una variación positiva de 762.4 millones de dólares, y iii) ajustes contables positivos por 1 mil 28.9 millones de dólares, que reflejaron, principalmente, la variación del dólar con respecto a otras monedas en las que se encuentra contratada la deuda y operaciones por recompra de deuda.</w:t>
      </w:r>
    </w:p>
    <w:p w14:paraId="704E67A2"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Con base en el saldo contractual de la deuda externa del Sector Público registrado al 31 de diciembre de 2023, las amortizaciones durante el año 2024 sumarán un monto de 16 mil 542.6 millones de dólares. De esta cifra, 20.9% se encuentra asociado a las amortizaciones proyectadas de los vencimientos de deuda de mercado de capitales; 61.0% a créditos directos y pasivos </w:t>
      </w:r>
      <w:proofErr w:type="spellStart"/>
      <w:r>
        <w:rPr>
          <w:rFonts w:ascii="Arial" w:hAnsi="Arial" w:cs="Arial"/>
          <w:sz w:val="18"/>
          <w:szCs w:val="18"/>
        </w:rPr>
        <w:t>Pidiregas</w:t>
      </w:r>
      <w:proofErr w:type="spellEnd"/>
      <w:r>
        <w:rPr>
          <w:rFonts w:ascii="Arial" w:hAnsi="Arial" w:cs="Arial"/>
          <w:sz w:val="18"/>
          <w:szCs w:val="18"/>
        </w:rPr>
        <w:t xml:space="preserve">; y 18.1%, se refiere a las amortizaciones de líneas vinculadas al comercio exterior y a vencimientos de deuda con </w:t>
      </w:r>
      <w:proofErr w:type="spellStart"/>
      <w:r>
        <w:rPr>
          <w:rFonts w:ascii="Arial" w:hAnsi="Arial" w:cs="Arial"/>
          <w:sz w:val="18"/>
          <w:szCs w:val="18"/>
        </w:rPr>
        <w:t>OFIs</w:t>
      </w:r>
      <w:proofErr w:type="spellEnd"/>
      <w:r>
        <w:rPr>
          <w:rFonts w:ascii="Arial" w:hAnsi="Arial" w:cs="Arial"/>
          <w:sz w:val="18"/>
          <w:szCs w:val="18"/>
        </w:rPr>
        <w:t>.</w:t>
      </w:r>
    </w:p>
    <w:p w14:paraId="68D1B40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De enero a diciembre de 2023, el Sector Público realizó erogaciones por concepto de costo financiero de su deuda pública interna por un monto de 814 mil 908.7 millones de pesos. Por otra parte, durante el mismo periodo se efectuaron erogaciones por un monto de 12 mil 301.2 millones de dólares para cubrir el pago por concepto de intereses, comisiones y gastos asociados a la deuda pública externa. En los Apéndices Estadísticos de Finanzas Públicas y Deuda Pública del presente Informe, en los cuadros I.52 y I.53 se incluye el detalle del costo financiero de la deuda del Sector Público.</w:t>
      </w:r>
    </w:p>
    <w:p w14:paraId="450AAB1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6EF6970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w:t>
      </w:r>
    </w:p>
    <w:p w14:paraId="74BA557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SHRFSP agrupa la deuda neta del Sector Público presupuestario (Gobierno Federal y Entidades de control directo), las obligaciones netas del IPAB, los pasivos del </w:t>
      </w:r>
      <w:proofErr w:type="spellStart"/>
      <w:r>
        <w:rPr>
          <w:rFonts w:ascii="Arial" w:hAnsi="Arial" w:cs="Arial"/>
          <w:sz w:val="18"/>
          <w:szCs w:val="18"/>
        </w:rPr>
        <w:t>Fonadin</w:t>
      </w:r>
      <w:proofErr w:type="spellEnd"/>
      <w:r>
        <w:rPr>
          <w:rFonts w:ascii="Arial" w:hAnsi="Arial" w:cs="Arial"/>
          <w:sz w:val="18"/>
          <w:szCs w:val="18"/>
        </w:rPr>
        <w:t xml:space="preserve">, los asociados a los </w:t>
      </w:r>
      <w:proofErr w:type="spellStart"/>
      <w:r>
        <w:rPr>
          <w:rFonts w:ascii="Arial" w:hAnsi="Arial" w:cs="Arial"/>
          <w:sz w:val="18"/>
          <w:szCs w:val="18"/>
        </w:rPr>
        <w:t>Pidiregas</w:t>
      </w:r>
      <w:proofErr w:type="spellEnd"/>
      <w:r>
        <w:rPr>
          <w:rFonts w:ascii="Arial" w:hAnsi="Arial" w:cs="Arial"/>
          <w:sz w:val="18"/>
          <w:szCs w:val="18"/>
        </w:rPr>
        <w:t xml:space="preserve"> y los correspondientes a los Programas de Apoyo a Deudores, así como el cambio en la situación patrimonial de las Instituciones de Fomento, y constituye la medida más amplia de deuda pública. </w:t>
      </w:r>
    </w:p>
    <w:p w14:paraId="33D2CC5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cierre del cuarto trimestre de 2023, el SHRFSP se ubicó en 14 billones 865 mil 528.5 millones de pesos. Respecto al cierre de 2022, incrementó en términos nominales por el efecto del endeudamiento neto, que fue aminorado parcialmente por la apreciación del tipo de cambio. Así, el componente interno del SHRFSP se ubicó en 11 billones 305 mil 926.2 millones de pesos y el componente externo fue de 210 mil 353.5 millones de dólares.</w:t>
      </w:r>
    </w:p>
    <w:p w14:paraId="777CE72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 diciembre de 2023 la SHCP publicó el Plan Anual de Financiamiento (PAF) para 2024. Este documento da a conocer los principales elementos de la política de deuda pública del Gobierno Federal, las Empresas Productivas del Estado y otros emisores del Sector Público que acceden a los mercados de deuda. El Gobierno Federal consolidará en 2024 la estrategia de política de deuda que desarrolló durante la administración, a través de cinco pilares: </w:t>
      </w:r>
    </w:p>
    <w:p w14:paraId="71FABBD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1) cubrir las necesidades de financiamiento del Gobierno Federal, con un nivel de riesgo y costo adecuado; </w:t>
      </w:r>
    </w:p>
    <w:p w14:paraId="7B16807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2) mejorar el perfil de vencimiento de deuda y sus características; </w:t>
      </w:r>
    </w:p>
    <w:p w14:paraId="32038A8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3) continuar con el desarrollo del mercado de Bonos Sostenibles; </w:t>
      </w:r>
    </w:p>
    <w:p w14:paraId="58026F9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4) realizar un manejo integral de los riesgos; y </w:t>
      </w:r>
    </w:p>
    <w:p w14:paraId="17B4A53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5) mantener la sostenibilidad de la deuda pública. </w:t>
      </w:r>
    </w:p>
    <w:p w14:paraId="02CFE8A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Para 2024, el Gobierno Federal seguirá en busca de ventanas de oportunidad para obtener el financiamiento requerido. El principal mercado será el interno y de forma complementaria los mercados externos, siempre y cuando las condiciones sean favorables. Todo ello, con la intención de reducir la exposición del portafolio ante episodios de volatilidad. Con esta estrategia, se estima que el porcentaje de la deuda bruta externa respecto de la bruta total se reduzca de 22.7% en 2018 a 15.3% para 2024. Respecto a la deuda interna, se espera una participación de 79.6% de los valores a tasa fija y nominal y real de largo plazo, y un plazo promedio de vencimiento de la deuda interna de 7.7 años y de 18.9 años para la deuda externa de mercado. </w:t>
      </w:r>
    </w:p>
    <w:p w14:paraId="47FFC7E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Se espera que con estas acciones se mitigue el incremento en el costo financiero y se estima a un nivel de confianza de 0.95 que este no se incrementará más de 3.7% con relación a su valor esperado. El Gobierno Federal mantendrá la política de refinanciamiento y gestión de pasivos, con la intención de reducir los pagos de deuda para la siguiente administración, y mejorar el perfil de riesgo y costo del portafolio de deuda pública. Asimismo, continuará con el desarrollo del mercado de Bonos Sostenibles, con nuevas emisiones a distintos plazos para incrementar la base de inversionistas y tener acceso a un mayor capital en estos instrumentos.</w:t>
      </w:r>
    </w:p>
    <w:p w14:paraId="78502CF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Además, buscará mantener un portafolio diversificado e implementará una estrategia de gestión de riesgos, a través de instrumentos derivados para afrontar las variaciones en el precio del petróleo, el tipo de cambio y las tasas de interés. Las acciones mencionadas tienen como objetivo mantener la sostenibilidad de la deuda pública para propiciar la estabilidad económica. El Gobierno Federal impulsará una relación estrecha con los emisores recurrentes del Sector Público para coordinar su financiamiento, mientras que estas entidades mantendrán una comunicación activa con los participantes del mercado.</w:t>
      </w:r>
    </w:p>
    <w:p w14:paraId="38F5F7F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 xml:space="preserve">El Gobierno Federal mantendrá como principal fuente de financiamiento el mercado interno a través del programa de subastas de valores gubernamentales, cuidando las condiciones y desarrollo de los mercados financieros. El objetivo es fomentar el desarrollo de la curva de tasa de interés, tasas reales y promover la liquidez. El endeudamiento interno continuará con la estrategia de fortalecimiento de la Figura de Formadores de Mercado de Bonos y </w:t>
      </w:r>
      <w:proofErr w:type="spellStart"/>
      <w:r>
        <w:rPr>
          <w:rFonts w:ascii="Arial" w:hAnsi="Arial" w:cs="Arial"/>
          <w:sz w:val="18"/>
          <w:szCs w:val="18"/>
        </w:rPr>
        <w:t>Udibonos</w:t>
      </w:r>
      <w:proofErr w:type="spellEnd"/>
      <w:r>
        <w:rPr>
          <w:rFonts w:ascii="Arial" w:hAnsi="Arial" w:cs="Arial"/>
          <w:sz w:val="18"/>
          <w:szCs w:val="18"/>
        </w:rPr>
        <w:t xml:space="preserve">, con el fin de incentivar la liquidez y dar profundidad al mercado local, buscando en todo momento ventanas de oportunidad favorables y adaptándolas a las condiciones y evolución de los mercados. </w:t>
      </w:r>
    </w:p>
    <w:p w14:paraId="25C5EFB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Se considerará realizar subastas sindicadas y reaperturas de emisores vigentes para actualizar las referencias y mejorar los perfiles de vencimiento. Se mantendrá el anuncio de las subastas de cada instrumento en el Calendario Trimestral de Subastas de Valores Gubernamentales. Además, se continuará con el financiamiento sostenible, a través de emisiones tanto a tasa variable (Bondes G) como a tasa fija (Bonos S), con el objetivo de fortalecer las nuevas referencias sostenibles en el mercado local y aumentar la proporción de deuda local sostenible en el portafolio.</w:t>
      </w:r>
    </w:p>
    <w:p w14:paraId="73B0FF3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Para garantizar la solidez de las finanzas públicas del país, se adaptará una postura reservada ante el manejo de pasivos y se considerarán solo oportunidades que beneficien el desendeudamiento neto, sin aumentar la tasa cupón promedio de los bonos del Gobierno Federal. El endeudamiento externo se mantiene como fuente secundaria de financiamiento, con el fin de mantener a la baja la proporción de deuda en moneda extranjera, y así mitigar el impacto de choques externos. La estrategia tiene como objetivo brindar flexibilidad al financiamiento del Gobierno Federal, por ello se dará preferencia a los mercados financieros internacionales cuando las condiciones del mercado sean favorables y aporten mayor liquidez.</w:t>
      </w:r>
    </w:p>
    <w:p w14:paraId="53645F8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Los </w:t>
      </w:r>
      <w:proofErr w:type="spellStart"/>
      <w:r>
        <w:rPr>
          <w:rFonts w:ascii="Arial" w:hAnsi="Arial" w:cs="Arial"/>
          <w:sz w:val="18"/>
          <w:szCs w:val="18"/>
        </w:rPr>
        <w:t>Pidiregas</w:t>
      </w:r>
      <w:proofErr w:type="spellEnd"/>
      <w:r>
        <w:rPr>
          <w:rFonts w:ascii="Arial" w:hAnsi="Arial" w:cs="Arial"/>
          <w:sz w:val="18"/>
          <w:szCs w:val="18"/>
        </w:rPr>
        <w:t xml:space="preserve">, que forman parte de la inversión física impulsada por el Sector Público, se agrupan en: </w:t>
      </w:r>
    </w:p>
    <w:p w14:paraId="5167C9F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Los </w:t>
      </w:r>
      <w:proofErr w:type="spellStart"/>
      <w:r>
        <w:rPr>
          <w:rFonts w:ascii="Arial" w:hAnsi="Arial" w:cs="Arial"/>
          <w:sz w:val="18"/>
          <w:szCs w:val="18"/>
        </w:rPr>
        <w:t>Pidiregas</w:t>
      </w:r>
      <w:proofErr w:type="spellEnd"/>
      <w:r>
        <w:rPr>
          <w:rFonts w:ascii="Arial" w:hAnsi="Arial" w:cs="Arial"/>
          <w:sz w:val="18"/>
          <w:szCs w:val="18"/>
        </w:rPr>
        <w:t xml:space="preserve"> de inversión directa, que comprenden aquellos proyectos que en el tiempo constituirán inversión pública y que por tanto suponen adquirir obligaciones financieras que son registradas de conformidad con el artículo 18 de la Ley Federal de Deuda Pública y </w:t>
      </w:r>
    </w:p>
    <w:p w14:paraId="40BC422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Aquellos proyectos propiedad del sector privado y que implican únicamente compromisos comerciales, salvo que se presenten causas de fuerza mayor que impliquen su adquisición por el Sector Público. Con el objeto de ampliar y mejorar la información relativa a los pasivos asociados a los proyectos de inversión financiada, se incluye información del pasivo de los proyectos </w:t>
      </w:r>
      <w:proofErr w:type="spellStart"/>
      <w:r>
        <w:rPr>
          <w:rFonts w:ascii="Arial" w:hAnsi="Arial" w:cs="Arial"/>
          <w:sz w:val="18"/>
          <w:szCs w:val="18"/>
        </w:rPr>
        <w:t>Pidiregas</w:t>
      </w:r>
      <w:proofErr w:type="spellEnd"/>
      <w:r>
        <w:rPr>
          <w:rFonts w:ascii="Arial" w:hAnsi="Arial" w:cs="Arial"/>
          <w:sz w:val="18"/>
          <w:szCs w:val="18"/>
        </w:rPr>
        <w:t xml:space="preserve"> que, de acuerdo con la normatividad aplicable, han sido recibidos a satisfacción por la CFE, reflejándose por lo tanto en sus registros contables. </w:t>
      </w:r>
    </w:p>
    <w:p w14:paraId="3EA68CC8"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Cabe mencionar que, derivado del reconocimiento de los pasivos </w:t>
      </w:r>
      <w:proofErr w:type="spellStart"/>
      <w:r>
        <w:rPr>
          <w:rFonts w:ascii="Arial" w:hAnsi="Arial" w:cs="Arial"/>
          <w:sz w:val="18"/>
          <w:szCs w:val="18"/>
        </w:rPr>
        <w:t>Pidiregas</w:t>
      </w:r>
      <w:proofErr w:type="spellEnd"/>
      <w:r>
        <w:rPr>
          <w:rFonts w:ascii="Arial" w:hAnsi="Arial" w:cs="Arial"/>
          <w:sz w:val="18"/>
          <w:szCs w:val="18"/>
        </w:rPr>
        <w:t xml:space="preserve"> de Pemex como deuda directa en 2009, la única entidad que mantiene a la fecha este esquema es la CFE. 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6B9E967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w:t>
      </w:r>
    </w:p>
    <w:p w14:paraId="134E2F9B"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 fin de instrumentar la estrategia antes planteada, al igual que en los ejercicios fiscales de 2000 a 2022, el Ejecutivo Federal solicitó la asignación, en el PEF para el 2023,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w:t>
      </w:r>
    </w:p>
    <w:p w14:paraId="4108735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Asimismo, en el artículo 2o. de la LIF 2023,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5CB9658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31 de diciembre de 2023, la deuda neta del Instituto ascendió a 993 mil 704 millones de pesos, registrando una disminución en términos reales de 1.34% respecto a diciembre de 2022. Esta disminución se explica principalmente </w:t>
      </w:r>
      <w:r>
        <w:rPr>
          <w:rFonts w:ascii="Arial" w:hAnsi="Arial" w:cs="Arial"/>
          <w:sz w:val="18"/>
          <w:szCs w:val="18"/>
        </w:rPr>
        <w:lastRenderedPageBreak/>
        <w:t xml:space="preserve">por una menor tasa real observada en el periodo y la aplicación del 75.0% de las Cuotas. Por otra parte, el saldo de la deuda neta del Instituto al cierre del cuarto trimestre de 2023 representó el 2.93% del PIB, dato menor en 0.19 </w:t>
      </w:r>
      <w:proofErr w:type="spellStart"/>
      <w:r>
        <w:rPr>
          <w:rFonts w:ascii="Arial" w:hAnsi="Arial" w:cs="Arial"/>
          <w:sz w:val="18"/>
          <w:szCs w:val="18"/>
        </w:rPr>
        <w:t>pp</w:t>
      </w:r>
      <w:proofErr w:type="spellEnd"/>
      <w:r>
        <w:rPr>
          <w:rFonts w:ascii="Arial" w:hAnsi="Arial" w:cs="Arial"/>
          <w:sz w:val="18"/>
          <w:szCs w:val="18"/>
        </w:rPr>
        <w:t xml:space="preserve"> respecto al presentado al cierre del cuarto trimestre de 2022. </w:t>
      </w:r>
    </w:p>
    <w:p w14:paraId="0E5F7EB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 términos reales, el decremento de 0.19 </w:t>
      </w:r>
      <w:proofErr w:type="spellStart"/>
      <w:r>
        <w:rPr>
          <w:rFonts w:ascii="Arial" w:hAnsi="Arial" w:cs="Arial"/>
          <w:sz w:val="18"/>
          <w:szCs w:val="18"/>
        </w:rPr>
        <w:t>pp</w:t>
      </w:r>
      <w:proofErr w:type="spellEnd"/>
      <w:r>
        <w:rPr>
          <w:rFonts w:ascii="Arial" w:hAnsi="Arial" w:cs="Arial"/>
          <w:sz w:val="18"/>
          <w:szCs w:val="18"/>
        </w:rPr>
        <w:t xml:space="preserve"> se explica en 0.15 </w:t>
      </w:r>
      <w:proofErr w:type="spellStart"/>
      <w:r>
        <w:rPr>
          <w:rFonts w:ascii="Arial" w:hAnsi="Arial" w:cs="Arial"/>
          <w:sz w:val="18"/>
          <w:szCs w:val="18"/>
        </w:rPr>
        <w:t>pp</w:t>
      </w:r>
      <w:proofErr w:type="spellEnd"/>
      <w:r>
        <w:rPr>
          <w:rFonts w:ascii="Arial" w:hAnsi="Arial" w:cs="Arial"/>
          <w:sz w:val="18"/>
          <w:szCs w:val="18"/>
        </w:rPr>
        <w:t xml:space="preserve"> por el crecimiento estimado de la economía en términos reales de diciembre de 2022 a diciembre de 2023 y en 0.04 </w:t>
      </w:r>
      <w:proofErr w:type="spellStart"/>
      <w:r>
        <w:rPr>
          <w:rFonts w:ascii="Arial" w:hAnsi="Arial" w:cs="Arial"/>
          <w:sz w:val="18"/>
          <w:szCs w:val="18"/>
        </w:rPr>
        <w:t>pp</w:t>
      </w:r>
      <w:proofErr w:type="spellEnd"/>
      <w:r>
        <w:rPr>
          <w:rFonts w:ascii="Arial" w:hAnsi="Arial" w:cs="Arial"/>
          <w:sz w:val="18"/>
          <w:szCs w:val="18"/>
        </w:rPr>
        <w:t xml:space="preserve"> por el decrecimiento de la deuda del Instituto en términos reales.</w:t>
      </w:r>
    </w:p>
    <w:p w14:paraId="44C9EAA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cierre del cuarto trimestre de 2023, el saldo de los activos totales del Instituto ascendió a 184 mil 563 millones de pesos, cifra que presentó un aumento de 31.53% en términos reales, respecto al cierre de diciembre de 2022. Cabe destacar que, el saldo del Fondo de Protección al Ahorro Bancario al cierre de diciembre de 2023 ascendió a 87 mil 120 millones de pesos, lo que significó un incremento nominal de 24.62% y de 19.08% en términos reales respecto del mes de diciembre de 2022.</w:t>
      </w:r>
    </w:p>
    <w:p w14:paraId="3136AD1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Durante el cuarto trimestre de 2023, se recibieron recursos en el Instituto por un total de 76 mil 564 millones de pesos. Dichos recursos se componen de: i) 64 mil 4 millones de pesos correspondientes a operaciones de refinanciamiento a través de la colocación primaria y no competitiva de BPAS; ii) 8 mil 395 millones de pesos por concepto de Cuotas cobradas a las Instituciones de Banca Múltiple (IBM); iii) 4 mil 145 millones de pesos de intereses generados por la inversión de los activos líquidos del Instituto; iv) 19 millones de pesos de una recuperación por Pago de Obligaciones Garantizadas (POG); y, v) 1 millón de pesos de otros ingresos (devoluciones de recursos no empleados al POG, traspaso de intereses por saldo en cuenta, reembolso a la Reserva para Contingencias por Resoluciones Bancarias y ajuste al gasto de administración). </w:t>
      </w:r>
    </w:p>
    <w:p w14:paraId="0C151C9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Por su parte, los pagos realizados durante el mismo periodo ascendieron a 48 mil 467 millones de pesos, de los cuales 18 mil 200 millones de pesos corresponden a la amortización de Bonos; 30 mil 149 millones de pesos al pago de intereses de dichos Bonos; 118 millones de pesos a pagos relacionados con gastos de administración del Instituto y 0.2 millones de pesos al pago de gastos por resoluciones.</w:t>
      </w:r>
    </w:p>
    <w:p w14:paraId="57CF71E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Con estricto apego a la facultad de refinanciamiento del Instituto establecida en el artículo 2 antes referido y, conforme al programa de subastas dado a conocer al público inversionista el 29 de septiembre de 2023, el Instituto colocó Bonos de Protección al Ahorro (BPAS o Bonos) a través del Banco de México como su agente financiero. Dado lo anterior, el IPAB colocó instrumentos por un monto nominal de 63 mil 926 millones de pesos, de los cuales 63 mil 700 millones de pesos corresponden a subastas primarias y 226 millones de pesos a asignaciones no competitivas a través de la plataforma de </w:t>
      </w:r>
      <w:proofErr w:type="spellStart"/>
      <w:r>
        <w:rPr>
          <w:rFonts w:ascii="Arial" w:hAnsi="Arial" w:cs="Arial"/>
          <w:sz w:val="18"/>
          <w:szCs w:val="18"/>
        </w:rPr>
        <w:t>Cetesdirecto</w:t>
      </w:r>
      <w:proofErr w:type="spellEnd"/>
      <w:r>
        <w:rPr>
          <w:rFonts w:ascii="Arial" w:hAnsi="Arial" w:cs="Arial"/>
          <w:sz w:val="18"/>
          <w:szCs w:val="18"/>
        </w:rPr>
        <w:t xml:space="preserve">. </w:t>
      </w:r>
    </w:p>
    <w:p w14:paraId="7CBB52B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Además, amortizó emisiones primarias con un valor nominal de 18 mil 200 millones de pesos, con lo cual se presentó una colocación neta de 45 mil 726 millones de pesos. Las operaciones de refinanciamiento efectuadas durante el cuarto trimestre de 2023 contribuyeron con el objetivo estratégico del IPAB de hacer frente a sus obligaciones de pago de manera sostenible en el largo plazo.</w:t>
      </w:r>
    </w:p>
    <w:p w14:paraId="01A716BB"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cierre del cuarto trimestre de 2023, el plazo promedio de los pasivos del Instituto fue de 2.63 años, dato 0.02 años mayor al observado en el cuarto trimestre de 2022 (2.61 años), debido a que el porcentaje de la deuda con plazo mayor a 5 años ha tenido un ligero incremento. Por otra parte, el 15 de diciembre de 2023, el IPAB dio a conocer al público inversionista las subastas primarias programadas a realizar durante el primer trimestre de 2024; para el cual, mantuvo sin cambio el monto objetivo semanal a subastar respecto del cuarto trimestre de 2023, quedando en 4 mil 900 millones de pesos, distribuidos de la siguiente manera: 1 mil 700 millones de pesos de BPAG28 a plazo de hasta 3 años; 1 mil 700 millones de pesos de BPAG91 a plazo de hasta 5 años y 1 mil 500 millones de pesos de BPA182 a plazo de hasta 7 años.</w:t>
      </w:r>
    </w:p>
    <w:p w14:paraId="171699F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El Gobierno del Estado de Tlaxcala mantiene el compromiso de no contraer deuda pública que pudiese comprometer las finanzas públicas en el corto y mediano plazo, aunado a las medidas de austeridad republicana implementadas por el Gobierno Federal, traduciéndose en un nivel de endeudamiento al cierre del ejercicio fiscal 2023 de $0.00, y al primer trimestre del ejercicio 2024 se continúa con un saldo de $0.00 de endeudamiento, manteniendo las finanzas del Gobierno del Estado sanas.</w:t>
      </w:r>
    </w:p>
    <w:p w14:paraId="0266AC4E" w14:textId="66609062"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37ECE535"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lastRenderedPageBreak/>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420656" w14:paraId="5D0B848C" w14:textId="77777777" w:rsidTr="009B66AA">
        <w:trPr>
          <w:trHeight w:val="1671"/>
        </w:trPr>
        <w:tc>
          <w:tcPr>
            <w:tcW w:w="9350" w:type="dxa"/>
            <w:gridSpan w:val="3"/>
          </w:tcPr>
          <w:p w14:paraId="1621F6EE" w14:textId="77777777" w:rsidR="00420656" w:rsidRDefault="00420656" w:rsidP="009B66AA">
            <w:pPr>
              <w:pStyle w:val="Texto"/>
              <w:spacing w:after="0" w:line="240" w:lineRule="exact"/>
              <w:ind w:firstLine="0"/>
              <w:rPr>
                <w:color w:val="000000"/>
                <w:szCs w:val="18"/>
              </w:rPr>
            </w:pPr>
          </w:p>
          <w:p w14:paraId="6BE41CE3" w14:textId="77777777" w:rsidR="00420656" w:rsidRDefault="00420656" w:rsidP="009B66AA">
            <w:pPr>
              <w:pStyle w:val="Texto"/>
              <w:spacing w:after="0" w:line="240" w:lineRule="exact"/>
              <w:ind w:firstLine="0"/>
              <w:rPr>
                <w:color w:val="000000"/>
                <w:szCs w:val="18"/>
              </w:rPr>
            </w:pPr>
          </w:p>
          <w:p w14:paraId="29351A31" w14:textId="77777777" w:rsidR="00420656" w:rsidRDefault="00420656" w:rsidP="009B66AA">
            <w:pPr>
              <w:pStyle w:val="Texto"/>
              <w:spacing w:after="0" w:line="240" w:lineRule="exact"/>
              <w:ind w:firstLine="0"/>
              <w:rPr>
                <w:color w:val="000000"/>
                <w:szCs w:val="18"/>
              </w:rPr>
            </w:pPr>
          </w:p>
          <w:p w14:paraId="753A88AA" w14:textId="77777777" w:rsidR="00420656" w:rsidRDefault="00420656" w:rsidP="009B66AA">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6199CACE" w14:textId="77777777" w:rsidR="00420656" w:rsidRDefault="00420656" w:rsidP="009B66AA">
            <w:pPr>
              <w:pStyle w:val="Texto"/>
              <w:spacing w:after="0" w:line="240" w:lineRule="exact"/>
              <w:ind w:firstLine="0"/>
              <w:rPr>
                <w:szCs w:val="18"/>
              </w:rPr>
            </w:pPr>
          </w:p>
          <w:p w14:paraId="64063426" w14:textId="77777777" w:rsidR="00420656" w:rsidRDefault="00420656" w:rsidP="009B66AA">
            <w:pPr>
              <w:pStyle w:val="Texto"/>
              <w:spacing w:after="0" w:line="240" w:lineRule="exact"/>
              <w:ind w:firstLine="0"/>
              <w:rPr>
                <w:szCs w:val="18"/>
              </w:rPr>
            </w:pPr>
          </w:p>
        </w:tc>
      </w:tr>
      <w:tr w:rsidR="00420656" w14:paraId="0B761C02" w14:textId="77777777" w:rsidTr="009B66AA">
        <w:tc>
          <w:tcPr>
            <w:tcW w:w="4106" w:type="dxa"/>
          </w:tcPr>
          <w:p w14:paraId="1DE8DA89" w14:textId="77777777" w:rsidR="00420656" w:rsidRDefault="00420656" w:rsidP="009B66AA">
            <w:pPr>
              <w:jc w:val="center"/>
              <w:rPr>
                <w:rFonts w:ascii="Arial" w:hAnsi="Arial" w:cs="Arial"/>
                <w:color w:val="000000"/>
                <w:sz w:val="18"/>
                <w:szCs w:val="18"/>
              </w:rPr>
            </w:pPr>
          </w:p>
          <w:p w14:paraId="09146DEC" w14:textId="77777777" w:rsidR="00420656" w:rsidRDefault="00420656" w:rsidP="009B66AA">
            <w:pPr>
              <w:jc w:val="center"/>
              <w:rPr>
                <w:rFonts w:ascii="Arial" w:hAnsi="Arial" w:cs="Arial"/>
                <w:color w:val="000000"/>
                <w:sz w:val="18"/>
                <w:szCs w:val="18"/>
              </w:rPr>
            </w:pPr>
          </w:p>
          <w:p w14:paraId="6FC9BA64" w14:textId="77777777" w:rsidR="00420656" w:rsidRDefault="00420656" w:rsidP="009B66AA">
            <w:pPr>
              <w:jc w:val="center"/>
              <w:rPr>
                <w:rFonts w:ascii="Arial" w:hAnsi="Arial" w:cs="Arial"/>
                <w:color w:val="000000"/>
                <w:sz w:val="18"/>
                <w:szCs w:val="18"/>
              </w:rPr>
            </w:pPr>
            <w:r>
              <w:rPr>
                <w:rFonts w:ascii="Arial" w:hAnsi="Arial" w:cs="Arial"/>
                <w:color w:val="000000"/>
                <w:sz w:val="18"/>
                <w:szCs w:val="18"/>
              </w:rPr>
              <w:t>_____________________________________</w:t>
            </w:r>
          </w:p>
          <w:p w14:paraId="29008F5B" w14:textId="77777777" w:rsidR="00420656" w:rsidRDefault="00420656" w:rsidP="009B66AA">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158867CF" w14:textId="77777777" w:rsidR="00420656" w:rsidRDefault="00420656" w:rsidP="009B66AA">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2D032A32" w14:textId="77777777" w:rsidR="00420656" w:rsidRDefault="00420656" w:rsidP="009B66AA">
            <w:pPr>
              <w:pStyle w:val="Texto"/>
              <w:spacing w:after="0" w:line="240" w:lineRule="exact"/>
              <w:ind w:firstLine="0"/>
              <w:jc w:val="center"/>
              <w:rPr>
                <w:szCs w:val="18"/>
              </w:rPr>
            </w:pPr>
          </w:p>
        </w:tc>
        <w:tc>
          <w:tcPr>
            <w:tcW w:w="1134" w:type="dxa"/>
          </w:tcPr>
          <w:p w14:paraId="6D768A44" w14:textId="77777777" w:rsidR="00420656" w:rsidRDefault="00420656" w:rsidP="009B66AA">
            <w:pPr>
              <w:pStyle w:val="Texto"/>
              <w:spacing w:after="0" w:line="240" w:lineRule="exact"/>
              <w:ind w:firstLine="0"/>
              <w:rPr>
                <w:szCs w:val="18"/>
              </w:rPr>
            </w:pPr>
          </w:p>
        </w:tc>
        <w:tc>
          <w:tcPr>
            <w:tcW w:w="4110" w:type="dxa"/>
          </w:tcPr>
          <w:p w14:paraId="77A34531" w14:textId="77777777" w:rsidR="00420656" w:rsidRPr="00F3142D" w:rsidRDefault="00420656" w:rsidP="009B66AA">
            <w:pPr>
              <w:pStyle w:val="Texto"/>
              <w:spacing w:after="0" w:line="240" w:lineRule="exact"/>
              <w:ind w:firstLine="0"/>
              <w:jc w:val="center"/>
              <w:rPr>
                <w:color w:val="000000"/>
                <w:szCs w:val="18"/>
              </w:rPr>
            </w:pPr>
          </w:p>
          <w:p w14:paraId="4DA2579F" w14:textId="77777777" w:rsidR="00420656" w:rsidRPr="00F3142D" w:rsidRDefault="00420656" w:rsidP="009B66AA">
            <w:pPr>
              <w:pStyle w:val="Texto"/>
              <w:spacing w:after="0" w:line="240" w:lineRule="exact"/>
              <w:ind w:firstLine="0"/>
              <w:jc w:val="center"/>
              <w:rPr>
                <w:color w:val="000000"/>
                <w:szCs w:val="18"/>
              </w:rPr>
            </w:pPr>
          </w:p>
          <w:p w14:paraId="68083B1D"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____________________________________</w:t>
            </w:r>
          </w:p>
          <w:p w14:paraId="1ED0A4E6"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C.P. Román Muñoz Calva</w:t>
            </w:r>
          </w:p>
          <w:p w14:paraId="4552CB78" w14:textId="77777777" w:rsidR="00420656" w:rsidRDefault="00420656" w:rsidP="009B66AA">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1454921D" w14:textId="77777777" w:rsidR="00420656" w:rsidRDefault="00420656" w:rsidP="009B66AA">
            <w:pPr>
              <w:pStyle w:val="Texto"/>
              <w:spacing w:after="0" w:line="240" w:lineRule="exact"/>
              <w:ind w:firstLine="0"/>
              <w:jc w:val="center"/>
              <w:rPr>
                <w:szCs w:val="18"/>
              </w:rPr>
            </w:pPr>
          </w:p>
        </w:tc>
      </w:tr>
    </w:tbl>
    <w:p w14:paraId="4D1D386A" w14:textId="77777777" w:rsidR="00420656" w:rsidRDefault="00420656" w:rsidP="00420656">
      <w:pPr>
        <w:pStyle w:val="Texto"/>
        <w:spacing w:after="0" w:line="240" w:lineRule="exact"/>
        <w:rPr>
          <w:szCs w:val="18"/>
        </w:rPr>
      </w:pPr>
    </w:p>
    <w:p w14:paraId="34C98F7F" w14:textId="77777777" w:rsidR="00C904BE" w:rsidRDefault="00C904BE" w:rsidP="00420656">
      <w:pPr>
        <w:pStyle w:val="Texto"/>
        <w:spacing w:after="0" w:line="240" w:lineRule="exact"/>
        <w:rPr>
          <w:szCs w:val="18"/>
        </w:rPr>
      </w:pPr>
    </w:p>
    <w:p w14:paraId="23A804FE" w14:textId="77777777" w:rsidR="00C904BE" w:rsidRDefault="00C904BE" w:rsidP="00420656">
      <w:pPr>
        <w:pStyle w:val="Texto"/>
        <w:spacing w:after="0" w:line="240" w:lineRule="exact"/>
        <w:rPr>
          <w:szCs w:val="18"/>
        </w:rPr>
      </w:pPr>
    </w:p>
    <w:p w14:paraId="0FC6E03F" w14:textId="77777777" w:rsidR="00C904BE" w:rsidRDefault="00C904BE" w:rsidP="00420656">
      <w:pPr>
        <w:pStyle w:val="Texto"/>
        <w:spacing w:after="0" w:line="240" w:lineRule="exact"/>
        <w:rPr>
          <w:szCs w:val="18"/>
        </w:rPr>
      </w:pPr>
    </w:p>
    <w:p w14:paraId="13CFA0C5" w14:textId="77777777" w:rsidR="00C904BE" w:rsidRDefault="00C904BE" w:rsidP="00420656">
      <w:pPr>
        <w:pStyle w:val="Texto"/>
        <w:spacing w:after="0" w:line="240" w:lineRule="exact"/>
        <w:rPr>
          <w:szCs w:val="18"/>
        </w:rPr>
      </w:pPr>
    </w:p>
    <w:p w14:paraId="73DA99DB" w14:textId="77777777" w:rsidR="00C904BE" w:rsidRDefault="00C904BE" w:rsidP="00420656">
      <w:pPr>
        <w:pStyle w:val="Texto"/>
        <w:spacing w:after="0" w:line="240" w:lineRule="exact"/>
        <w:rPr>
          <w:szCs w:val="18"/>
        </w:rPr>
      </w:pPr>
    </w:p>
    <w:p w14:paraId="481B9C35" w14:textId="77777777" w:rsidR="00C904BE" w:rsidRDefault="00C904BE" w:rsidP="00420656">
      <w:pPr>
        <w:pStyle w:val="Texto"/>
        <w:spacing w:after="0" w:line="240" w:lineRule="exact"/>
        <w:rPr>
          <w:szCs w:val="18"/>
        </w:rPr>
      </w:pPr>
    </w:p>
    <w:p w14:paraId="6C9F399F" w14:textId="77777777" w:rsidR="00C904BE" w:rsidRDefault="00C904BE" w:rsidP="00420656">
      <w:pPr>
        <w:pStyle w:val="Texto"/>
        <w:spacing w:after="0" w:line="240" w:lineRule="exact"/>
        <w:rPr>
          <w:szCs w:val="18"/>
        </w:rPr>
      </w:pPr>
    </w:p>
    <w:p w14:paraId="4776D185" w14:textId="77777777" w:rsidR="00C904BE" w:rsidRDefault="00C904BE" w:rsidP="00420656">
      <w:pPr>
        <w:pStyle w:val="Texto"/>
        <w:spacing w:after="0" w:line="240" w:lineRule="exact"/>
        <w:rPr>
          <w:szCs w:val="18"/>
        </w:rPr>
      </w:pPr>
    </w:p>
    <w:p w14:paraId="18DD9EB6" w14:textId="77777777" w:rsidR="00C904BE" w:rsidRDefault="00C904BE" w:rsidP="00420656">
      <w:pPr>
        <w:pStyle w:val="Texto"/>
        <w:spacing w:after="0" w:line="240" w:lineRule="exact"/>
        <w:rPr>
          <w:szCs w:val="18"/>
        </w:rPr>
      </w:pPr>
    </w:p>
    <w:p w14:paraId="70E0D260" w14:textId="77777777" w:rsidR="00C904BE" w:rsidRDefault="00C904BE" w:rsidP="00420656">
      <w:pPr>
        <w:pStyle w:val="Texto"/>
        <w:spacing w:after="0" w:line="240" w:lineRule="exact"/>
        <w:rPr>
          <w:szCs w:val="18"/>
        </w:rPr>
      </w:pPr>
    </w:p>
    <w:p w14:paraId="4B6C6ACE" w14:textId="77777777" w:rsidR="00C904BE" w:rsidRDefault="00C904BE" w:rsidP="00420656">
      <w:pPr>
        <w:pStyle w:val="Texto"/>
        <w:spacing w:after="0" w:line="240" w:lineRule="exact"/>
        <w:rPr>
          <w:szCs w:val="18"/>
        </w:rPr>
      </w:pPr>
    </w:p>
    <w:p w14:paraId="52C7AD58" w14:textId="77777777" w:rsidR="00C904BE" w:rsidRDefault="00C904BE" w:rsidP="00420656">
      <w:pPr>
        <w:pStyle w:val="Texto"/>
        <w:spacing w:after="0" w:line="240" w:lineRule="exact"/>
        <w:rPr>
          <w:szCs w:val="18"/>
        </w:rPr>
      </w:pPr>
    </w:p>
    <w:p w14:paraId="4C23C022" w14:textId="77777777" w:rsidR="00C904BE" w:rsidRDefault="00C904BE" w:rsidP="00420656">
      <w:pPr>
        <w:pStyle w:val="Texto"/>
        <w:spacing w:after="0" w:line="240" w:lineRule="exact"/>
        <w:rPr>
          <w:szCs w:val="18"/>
        </w:rPr>
      </w:pPr>
    </w:p>
    <w:p w14:paraId="056869B8" w14:textId="77777777" w:rsidR="00C904BE" w:rsidRDefault="00C904BE" w:rsidP="00420656">
      <w:pPr>
        <w:pStyle w:val="Texto"/>
        <w:spacing w:after="0" w:line="240" w:lineRule="exact"/>
        <w:rPr>
          <w:szCs w:val="18"/>
        </w:rPr>
      </w:pPr>
    </w:p>
    <w:p w14:paraId="214A1BAF" w14:textId="77777777" w:rsidR="00C904BE" w:rsidRDefault="00C904BE" w:rsidP="00420656">
      <w:pPr>
        <w:pStyle w:val="Texto"/>
        <w:spacing w:after="0" w:line="240" w:lineRule="exact"/>
        <w:rPr>
          <w:szCs w:val="18"/>
        </w:rPr>
      </w:pPr>
    </w:p>
    <w:p w14:paraId="3FEBF476" w14:textId="77777777" w:rsidR="00C904BE" w:rsidRDefault="00C904BE" w:rsidP="00420656">
      <w:pPr>
        <w:pStyle w:val="Texto"/>
        <w:spacing w:after="0" w:line="240" w:lineRule="exact"/>
        <w:rPr>
          <w:szCs w:val="18"/>
        </w:rPr>
      </w:pPr>
    </w:p>
    <w:p w14:paraId="6B99BBA6" w14:textId="77777777" w:rsidR="00C904BE" w:rsidRDefault="00C904BE" w:rsidP="00420656">
      <w:pPr>
        <w:pStyle w:val="Texto"/>
        <w:spacing w:after="0" w:line="240" w:lineRule="exact"/>
        <w:rPr>
          <w:szCs w:val="18"/>
        </w:rPr>
      </w:pPr>
    </w:p>
    <w:p w14:paraId="15C60CE9" w14:textId="77777777" w:rsidR="00C904BE" w:rsidRDefault="00C904BE" w:rsidP="00420656">
      <w:pPr>
        <w:pStyle w:val="Texto"/>
        <w:spacing w:after="0" w:line="240" w:lineRule="exact"/>
        <w:rPr>
          <w:szCs w:val="18"/>
        </w:rPr>
      </w:pPr>
    </w:p>
    <w:p w14:paraId="4FABEEC1" w14:textId="77777777" w:rsidR="00C904BE" w:rsidRDefault="00C904BE" w:rsidP="00420656">
      <w:pPr>
        <w:pStyle w:val="Texto"/>
        <w:spacing w:after="0" w:line="240" w:lineRule="exact"/>
        <w:rPr>
          <w:szCs w:val="18"/>
        </w:rPr>
      </w:pPr>
    </w:p>
    <w:p w14:paraId="3A4A3D15" w14:textId="77777777" w:rsidR="00C904BE" w:rsidRDefault="00C904BE" w:rsidP="00420656">
      <w:pPr>
        <w:pStyle w:val="Texto"/>
        <w:spacing w:after="0" w:line="240" w:lineRule="exact"/>
        <w:rPr>
          <w:szCs w:val="18"/>
        </w:rPr>
      </w:pPr>
    </w:p>
    <w:p w14:paraId="64BF84E9" w14:textId="77777777" w:rsidR="00C904BE" w:rsidRDefault="00C904BE" w:rsidP="00420656">
      <w:pPr>
        <w:pStyle w:val="Texto"/>
        <w:spacing w:after="0" w:line="240" w:lineRule="exact"/>
        <w:rPr>
          <w:szCs w:val="18"/>
        </w:rPr>
      </w:pPr>
    </w:p>
    <w:p w14:paraId="130FDD6A" w14:textId="77777777" w:rsidR="00C904BE" w:rsidRDefault="00C904BE" w:rsidP="00420656">
      <w:pPr>
        <w:pStyle w:val="Texto"/>
        <w:spacing w:after="0" w:line="240" w:lineRule="exact"/>
        <w:rPr>
          <w:szCs w:val="18"/>
        </w:rPr>
      </w:pPr>
    </w:p>
    <w:p w14:paraId="41D1EC6B" w14:textId="77777777" w:rsidR="00C904BE" w:rsidRDefault="00C904BE" w:rsidP="00420656">
      <w:pPr>
        <w:pStyle w:val="Texto"/>
        <w:spacing w:after="0" w:line="240" w:lineRule="exact"/>
        <w:rPr>
          <w:szCs w:val="18"/>
        </w:rPr>
      </w:pPr>
    </w:p>
    <w:p w14:paraId="7CD5CB8D" w14:textId="77777777" w:rsidR="00C904BE" w:rsidRDefault="00C904BE" w:rsidP="00420656">
      <w:pPr>
        <w:pStyle w:val="Texto"/>
        <w:spacing w:after="0" w:line="240" w:lineRule="exact"/>
        <w:rPr>
          <w:szCs w:val="18"/>
        </w:rPr>
      </w:pPr>
    </w:p>
    <w:p w14:paraId="563BB1E5" w14:textId="77777777" w:rsidR="00C904BE" w:rsidRDefault="00C904BE" w:rsidP="00420656">
      <w:pPr>
        <w:pStyle w:val="Texto"/>
        <w:spacing w:after="0" w:line="240" w:lineRule="exact"/>
        <w:rPr>
          <w:szCs w:val="18"/>
        </w:rPr>
      </w:pPr>
    </w:p>
    <w:p w14:paraId="516B3916" w14:textId="77777777" w:rsidR="00C904BE" w:rsidRDefault="00C904BE" w:rsidP="00420656">
      <w:pPr>
        <w:pStyle w:val="Texto"/>
        <w:spacing w:after="0" w:line="240" w:lineRule="exact"/>
        <w:rPr>
          <w:szCs w:val="18"/>
        </w:rPr>
      </w:pPr>
    </w:p>
    <w:p w14:paraId="734E493A" w14:textId="77777777" w:rsidR="00C904BE" w:rsidRDefault="00C904BE" w:rsidP="00420656">
      <w:pPr>
        <w:pStyle w:val="Texto"/>
        <w:spacing w:after="0" w:line="240" w:lineRule="exact"/>
        <w:rPr>
          <w:szCs w:val="18"/>
        </w:rPr>
      </w:pPr>
    </w:p>
    <w:p w14:paraId="767E0308" w14:textId="77777777" w:rsidR="00C904BE" w:rsidRDefault="00C904BE" w:rsidP="00420656">
      <w:pPr>
        <w:pStyle w:val="Texto"/>
        <w:spacing w:after="0" w:line="240" w:lineRule="exact"/>
        <w:rPr>
          <w:szCs w:val="18"/>
        </w:rPr>
      </w:pPr>
    </w:p>
    <w:p w14:paraId="582C8EEA" w14:textId="77777777" w:rsidR="00C904BE" w:rsidRDefault="00C904BE" w:rsidP="00420656">
      <w:pPr>
        <w:pStyle w:val="Texto"/>
        <w:spacing w:after="0" w:line="240" w:lineRule="exact"/>
        <w:rPr>
          <w:szCs w:val="18"/>
        </w:rPr>
      </w:pPr>
    </w:p>
    <w:p w14:paraId="2E86C3F0" w14:textId="77777777" w:rsidR="00C904BE" w:rsidRDefault="00C904BE" w:rsidP="00420656">
      <w:pPr>
        <w:pStyle w:val="Texto"/>
        <w:spacing w:after="0" w:line="240" w:lineRule="exact"/>
        <w:rPr>
          <w:szCs w:val="18"/>
        </w:rPr>
      </w:pPr>
    </w:p>
    <w:p w14:paraId="3D81C71F" w14:textId="77777777" w:rsidR="00C904BE" w:rsidRDefault="00C904BE" w:rsidP="00420656">
      <w:pPr>
        <w:pStyle w:val="Texto"/>
        <w:spacing w:after="0" w:line="240" w:lineRule="exact"/>
        <w:rPr>
          <w:szCs w:val="18"/>
        </w:rPr>
      </w:pPr>
    </w:p>
    <w:p w14:paraId="1B97E153" w14:textId="77777777" w:rsidR="00C904BE" w:rsidRDefault="00C904BE" w:rsidP="00420656">
      <w:pPr>
        <w:pStyle w:val="Texto"/>
        <w:spacing w:after="0" w:line="240" w:lineRule="exact"/>
        <w:rPr>
          <w:szCs w:val="18"/>
        </w:rPr>
      </w:pPr>
    </w:p>
    <w:p w14:paraId="590ECF93" w14:textId="77777777" w:rsidR="00C904BE" w:rsidRDefault="00C904BE" w:rsidP="00420656">
      <w:pPr>
        <w:pStyle w:val="Texto"/>
        <w:spacing w:after="0" w:line="240" w:lineRule="exact"/>
        <w:rPr>
          <w:szCs w:val="18"/>
        </w:rPr>
      </w:pPr>
    </w:p>
    <w:p w14:paraId="6FAFAACC" w14:textId="77777777" w:rsidR="00C904BE" w:rsidRDefault="00C904BE" w:rsidP="00420656">
      <w:pPr>
        <w:pStyle w:val="Texto"/>
        <w:spacing w:after="0" w:line="240" w:lineRule="exact"/>
        <w:rPr>
          <w:szCs w:val="18"/>
        </w:rPr>
      </w:pPr>
    </w:p>
    <w:p w14:paraId="27DC6043" w14:textId="77777777" w:rsidR="00C904BE" w:rsidRDefault="00C904BE" w:rsidP="00420656">
      <w:pPr>
        <w:pStyle w:val="Texto"/>
        <w:spacing w:after="0" w:line="240" w:lineRule="exact"/>
        <w:rPr>
          <w:szCs w:val="18"/>
        </w:rPr>
      </w:pPr>
    </w:p>
    <w:p w14:paraId="735B35F6" w14:textId="77777777" w:rsidR="00C904BE" w:rsidRDefault="00C904BE" w:rsidP="00420656">
      <w:pPr>
        <w:pStyle w:val="Texto"/>
        <w:spacing w:after="0" w:line="240" w:lineRule="exact"/>
        <w:rPr>
          <w:szCs w:val="18"/>
        </w:rPr>
      </w:pPr>
    </w:p>
    <w:p w14:paraId="557CC15B" w14:textId="77777777" w:rsidR="00DD29C2" w:rsidRDefault="00DD29C2" w:rsidP="00420656">
      <w:pPr>
        <w:pStyle w:val="Texto"/>
        <w:spacing w:after="0" w:line="240" w:lineRule="exact"/>
        <w:rPr>
          <w:szCs w:val="18"/>
        </w:rPr>
      </w:pPr>
    </w:p>
    <w:p w14:paraId="2CEF5773" w14:textId="77777777" w:rsidR="00332091" w:rsidRPr="0073056A" w:rsidRDefault="00332091" w:rsidP="00332091">
      <w:pPr>
        <w:pStyle w:val="Texto"/>
        <w:spacing w:after="0" w:line="276" w:lineRule="auto"/>
        <w:jc w:val="center"/>
        <w:rPr>
          <w:b/>
          <w:szCs w:val="18"/>
        </w:rPr>
      </w:pPr>
      <w:r w:rsidRPr="0073056A">
        <w:rPr>
          <w:b/>
          <w:szCs w:val="18"/>
        </w:rPr>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432E3375" w14:textId="5BA695E7" w:rsidR="00332091" w:rsidRPr="0073056A" w:rsidRDefault="00332091" w:rsidP="00332091">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309C3EB8"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5D1457">
        <w:rPr>
          <w:rFonts w:ascii="Arial" w:hAnsi="Arial" w:cs="Arial"/>
          <w:sz w:val="18"/>
          <w:szCs w:val="18"/>
          <w:lang w:val="es-ES"/>
        </w:rPr>
        <w:t>primer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5D1457">
        <w:rPr>
          <w:rFonts w:ascii="Arial" w:hAnsi="Arial" w:cs="Arial"/>
          <w:sz w:val="18"/>
          <w:szCs w:val="18"/>
        </w:rPr>
        <w:t>6</w:t>
      </w:r>
      <w:r>
        <w:rPr>
          <w:rFonts w:ascii="Arial" w:hAnsi="Arial" w:cs="Arial"/>
          <w:sz w:val="18"/>
          <w:szCs w:val="18"/>
        </w:rPr>
        <w:t>,</w:t>
      </w:r>
      <w:r w:rsidR="005D1457">
        <w:rPr>
          <w:rFonts w:ascii="Arial" w:hAnsi="Arial" w:cs="Arial"/>
          <w:sz w:val="18"/>
          <w:szCs w:val="18"/>
        </w:rPr>
        <w:t>203</w:t>
      </w:r>
      <w:r>
        <w:rPr>
          <w:rFonts w:ascii="Arial" w:hAnsi="Arial" w:cs="Arial"/>
          <w:sz w:val="18"/>
          <w:szCs w:val="18"/>
        </w:rPr>
        <w:t>,</w:t>
      </w:r>
      <w:r w:rsidR="005D1457">
        <w:rPr>
          <w:rFonts w:ascii="Arial" w:hAnsi="Arial" w:cs="Arial"/>
          <w:sz w:val="18"/>
          <w:szCs w:val="18"/>
        </w:rPr>
        <w:t>5</w:t>
      </w:r>
      <w:r w:rsidR="00451C8F">
        <w:rPr>
          <w:rFonts w:ascii="Arial" w:hAnsi="Arial" w:cs="Arial"/>
          <w:sz w:val="18"/>
          <w:szCs w:val="18"/>
        </w:rPr>
        <w:t>6</w:t>
      </w:r>
      <w:r w:rsidR="005D1457">
        <w:rPr>
          <w:rFonts w:ascii="Arial" w:hAnsi="Arial" w:cs="Arial"/>
          <w:sz w:val="18"/>
          <w:szCs w:val="18"/>
        </w:rPr>
        <w:t>3</w:t>
      </w:r>
      <w:r>
        <w:rPr>
          <w:rFonts w:ascii="Arial" w:hAnsi="Arial" w:cs="Arial"/>
          <w:sz w:val="18"/>
          <w:szCs w:val="18"/>
        </w:rPr>
        <w:t>,</w:t>
      </w:r>
      <w:r w:rsidR="005D1457">
        <w:rPr>
          <w:rFonts w:ascii="Arial" w:hAnsi="Arial" w:cs="Arial"/>
          <w:sz w:val="18"/>
          <w:szCs w:val="18"/>
        </w:rPr>
        <w:t>251</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5D1457">
        <w:rPr>
          <w:rFonts w:ascii="Arial" w:hAnsi="Arial" w:cs="Arial"/>
          <w:sz w:val="18"/>
          <w:szCs w:val="18"/>
        </w:rPr>
        <w:t>4</w:t>
      </w:r>
      <w:r>
        <w:rPr>
          <w:rFonts w:ascii="Arial" w:hAnsi="Arial" w:cs="Arial"/>
          <w:sz w:val="18"/>
          <w:szCs w:val="18"/>
        </w:rPr>
        <w:t>,</w:t>
      </w:r>
      <w:r w:rsidR="005D1457">
        <w:rPr>
          <w:rFonts w:ascii="Arial" w:hAnsi="Arial" w:cs="Arial"/>
          <w:sz w:val="18"/>
          <w:szCs w:val="18"/>
        </w:rPr>
        <w:t>605</w:t>
      </w:r>
      <w:r>
        <w:rPr>
          <w:rFonts w:ascii="Arial" w:hAnsi="Arial" w:cs="Arial"/>
          <w:sz w:val="18"/>
          <w:szCs w:val="18"/>
        </w:rPr>
        <w:t>,</w:t>
      </w:r>
      <w:r w:rsidR="005D1457">
        <w:rPr>
          <w:rFonts w:ascii="Arial" w:hAnsi="Arial" w:cs="Arial"/>
          <w:sz w:val="18"/>
          <w:szCs w:val="18"/>
        </w:rPr>
        <w:t>38</w:t>
      </w:r>
      <w:r w:rsidR="00451C8F">
        <w:rPr>
          <w:rFonts w:ascii="Arial" w:hAnsi="Arial" w:cs="Arial"/>
          <w:sz w:val="18"/>
          <w:szCs w:val="18"/>
        </w:rPr>
        <w:t>2</w:t>
      </w:r>
      <w:r>
        <w:rPr>
          <w:rFonts w:ascii="Arial" w:hAnsi="Arial" w:cs="Arial"/>
          <w:sz w:val="18"/>
          <w:szCs w:val="18"/>
        </w:rPr>
        <w:t>,</w:t>
      </w:r>
      <w:r w:rsidR="005D1457">
        <w:rPr>
          <w:rFonts w:ascii="Arial" w:hAnsi="Arial" w:cs="Arial"/>
          <w:sz w:val="18"/>
          <w:szCs w:val="18"/>
        </w:rPr>
        <w:t>395</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5D1457">
        <w:rPr>
          <w:rFonts w:ascii="Arial" w:hAnsi="Arial" w:cs="Arial"/>
          <w:sz w:val="18"/>
          <w:szCs w:val="18"/>
        </w:rPr>
        <w:t>1</w:t>
      </w:r>
      <w:r w:rsidR="007F6AFD">
        <w:rPr>
          <w:rFonts w:ascii="Arial" w:hAnsi="Arial" w:cs="Arial"/>
          <w:sz w:val="18"/>
          <w:szCs w:val="18"/>
        </w:rPr>
        <w:t>,</w:t>
      </w:r>
      <w:r w:rsidR="00451C8F">
        <w:rPr>
          <w:rFonts w:ascii="Arial" w:hAnsi="Arial" w:cs="Arial"/>
          <w:sz w:val="18"/>
          <w:szCs w:val="18"/>
        </w:rPr>
        <w:t>5</w:t>
      </w:r>
      <w:r w:rsidR="005D1457">
        <w:rPr>
          <w:rFonts w:ascii="Arial" w:hAnsi="Arial" w:cs="Arial"/>
          <w:sz w:val="18"/>
          <w:szCs w:val="18"/>
        </w:rPr>
        <w:t>98</w:t>
      </w:r>
      <w:r>
        <w:rPr>
          <w:rFonts w:ascii="Arial" w:hAnsi="Arial" w:cs="Arial"/>
          <w:sz w:val="18"/>
          <w:szCs w:val="18"/>
        </w:rPr>
        <w:t>,</w:t>
      </w:r>
      <w:r w:rsidR="005D1457">
        <w:rPr>
          <w:rFonts w:ascii="Arial" w:hAnsi="Arial" w:cs="Arial"/>
          <w:sz w:val="18"/>
          <w:szCs w:val="18"/>
        </w:rPr>
        <w:t>180</w:t>
      </w:r>
      <w:r>
        <w:rPr>
          <w:rFonts w:ascii="Arial" w:hAnsi="Arial" w:cs="Arial"/>
          <w:sz w:val="18"/>
          <w:szCs w:val="18"/>
        </w:rPr>
        <w:t>,</w:t>
      </w:r>
      <w:r w:rsidR="005D1457">
        <w:rPr>
          <w:rFonts w:ascii="Arial" w:hAnsi="Arial" w:cs="Arial"/>
          <w:sz w:val="18"/>
          <w:szCs w:val="18"/>
        </w:rPr>
        <w:t>856</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5D1457">
        <w:rPr>
          <w:rFonts w:ascii="Arial" w:hAnsi="Arial" w:cs="Arial"/>
          <w:sz w:val="18"/>
          <w:szCs w:val="18"/>
        </w:rPr>
        <w:t>m</w:t>
      </w:r>
      <w:r w:rsidR="005357BB">
        <w:rPr>
          <w:rFonts w:ascii="Arial" w:hAnsi="Arial" w:cs="Arial"/>
          <w:sz w:val="18"/>
          <w:szCs w:val="18"/>
        </w:rPr>
        <w:t>ay</w:t>
      </w:r>
      <w:r w:rsidR="005D1457">
        <w:rPr>
          <w:rFonts w:ascii="Arial" w:hAnsi="Arial" w:cs="Arial"/>
          <w:sz w:val="18"/>
          <w:szCs w:val="18"/>
        </w:rPr>
        <w:t>or</w:t>
      </w:r>
      <w:r w:rsidR="00A634CF">
        <w:rPr>
          <w:rFonts w:ascii="Arial" w:hAnsi="Arial" w:cs="Arial"/>
          <w:sz w:val="18"/>
          <w:szCs w:val="18"/>
        </w:rPr>
        <w:t xml:space="preserve"> en un </w:t>
      </w:r>
      <w:r w:rsidR="005357BB">
        <w:rPr>
          <w:rFonts w:ascii="Arial" w:hAnsi="Arial" w:cs="Arial"/>
          <w:sz w:val="18"/>
          <w:szCs w:val="18"/>
        </w:rPr>
        <w:t>25</w:t>
      </w:r>
      <w:r w:rsidR="00A634CF">
        <w:rPr>
          <w:rFonts w:ascii="Arial" w:hAnsi="Arial" w:cs="Arial"/>
          <w:sz w:val="18"/>
          <w:szCs w:val="18"/>
        </w:rPr>
        <w:t>%</w:t>
      </w:r>
      <w:r w:rsidR="00304672">
        <w:rPr>
          <w:rFonts w:ascii="Arial" w:hAnsi="Arial" w:cs="Arial"/>
          <w:sz w:val="18"/>
          <w:szCs w:val="18"/>
        </w:rPr>
        <w:t xml:space="preserve">, respecto al </w:t>
      </w:r>
      <w:r w:rsidR="005357BB">
        <w:rPr>
          <w:rFonts w:ascii="Arial" w:hAnsi="Arial" w:cs="Arial"/>
          <w:sz w:val="18"/>
          <w:szCs w:val="18"/>
        </w:rPr>
        <w:t xml:space="preserve">mismo periodo del </w:t>
      </w:r>
      <w:r w:rsidR="007A327C">
        <w:rPr>
          <w:rFonts w:ascii="Arial" w:hAnsi="Arial" w:cs="Arial"/>
          <w:sz w:val="18"/>
          <w:szCs w:val="18"/>
        </w:rPr>
        <w:t>ejercicio de</w:t>
      </w:r>
      <w:r w:rsidR="00304672">
        <w:rPr>
          <w:rFonts w:ascii="Arial" w:hAnsi="Arial" w:cs="Arial"/>
          <w:sz w:val="18"/>
          <w:szCs w:val="18"/>
        </w:rPr>
        <w:t xml:space="preserve"> 202</w:t>
      </w:r>
      <w:r w:rsidR="005D1457">
        <w:rPr>
          <w:rFonts w:ascii="Arial" w:hAnsi="Arial" w:cs="Arial"/>
          <w:sz w:val="18"/>
          <w:szCs w:val="18"/>
        </w:rPr>
        <w:t>3</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74C96472"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5D1457">
        <w:rPr>
          <w:rFonts w:ascii="Arial" w:hAnsi="Arial" w:cs="Arial"/>
          <w:sz w:val="18"/>
          <w:szCs w:val="18"/>
        </w:rPr>
        <w:t>marzo</w:t>
      </w:r>
      <w:r w:rsidR="00297D52">
        <w:rPr>
          <w:rFonts w:ascii="Arial" w:hAnsi="Arial" w:cs="Arial"/>
          <w:sz w:val="18"/>
          <w:szCs w:val="18"/>
        </w:rPr>
        <w:t xml:space="preserve"> </w:t>
      </w:r>
      <w:r w:rsidR="0048365A">
        <w:rPr>
          <w:rFonts w:ascii="Arial" w:hAnsi="Arial" w:cs="Arial"/>
          <w:sz w:val="18"/>
          <w:szCs w:val="18"/>
        </w:rPr>
        <w:t>de</w:t>
      </w:r>
      <w:r>
        <w:rPr>
          <w:rFonts w:ascii="Arial" w:hAnsi="Arial" w:cs="Arial"/>
          <w:sz w:val="18"/>
          <w:szCs w:val="18"/>
        </w:rPr>
        <w:t xml:space="preserve">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recaudó la cantidad de $</w:t>
      </w:r>
      <w:r w:rsidR="005D1457">
        <w:rPr>
          <w:rFonts w:ascii="Arial" w:hAnsi="Arial" w:cs="Arial"/>
          <w:sz w:val="18"/>
          <w:szCs w:val="18"/>
        </w:rPr>
        <w:t>276</w:t>
      </w:r>
      <w:r>
        <w:rPr>
          <w:rFonts w:ascii="Arial" w:hAnsi="Arial" w:cs="Arial"/>
          <w:sz w:val="18"/>
          <w:szCs w:val="18"/>
        </w:rPr>
        <w:t>,</w:t>
      </w:r>
      <w:r w:rsidR="005D1457">
        <w:rPr>
          <w:rFonts w:ascii="Arial" w:hAnsi="Arial" w:cs="Arial"/>
          <w:sz w:val="18"/>
          <w:szCs w:val="18"/>
        </w:rPr>
        <w:t>078</w:t>
      </w:r>
      <w:r>
        <w:rPr>
          <w:rFonts w:ascii="Arial" w:hAnsi="Arial" w:cs="Arial"/>
          <w:sz w:val="18"/>
          <w:szCs w:val="18"/>
        </w:rPr>
        <w:t>,</w:t>
      </w:r>
      <w:r w:rsidR="005D1457">
        <w:rPr>
          <w:rFonts w:ascii="Arial" w:hAnsi="Arial" w:cs="Arial"/>
          <w:sz w:val="18"/>
          <w:szCs w:val="18"/>
        </w:rPr>
        <w:t>837</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5D1457">
        <w:rPr>
          <w:rFonts w:ascii="Arial" w:hAnsi="Arial" w:cs="Arial"/>
          <w:sz w:val="18"/>
          <w:szCs w:val="18"/>
        </w:rPr>
        <w:t>256</w:t>
      </w:r>
      <w:r w:rsidR="00E004F0">
        <w:rPr>
          <w:rFonts w:ascii="Arial" w:hAnsi="Arial" w:cs="Arial"/>
          <w:sz w:val="18"/>
          <w:szCs w:val="18"/>
        </w:rPr>
        <w:t>,</w:t>
      </w:r>
      <w:r w:rsidR="005D1457">
        <w:rPr>
          <w:rFonts w:ascii="Arial" w:hAnsi="Arial" w:cs="Arial"/>
          <w:sz w:val="18"/>
          <w:szCs w:val="18"/>
        </w:rPr>
        <w:t>018</w:t>
      </w:r>
      <w:r w:rsidR="00AB0983">
        <w:rPr>
          <w:rFonts w:ascii="Arial" w:hAnsi="Arial" w:cs="Arial"/>
          <w:sz w:val="18"/>
          <w:szCs w:val="18"/>
        </w:rPr>
        <w:t>,</w:t>
      </w:r>
      <w:r w:rsidR="005D1457">
        <w:rPr>
          <w:rFonts w:ascii="Arial" w:hAnsi="Arial" w:cs="Arial"/>
          <w:sz w:val="18"/>
          <w:szCs w:val="18"/>
        </w:rPr>
        <w:t>746</w:t>
      </w:r>
      <w:r>
        <w:rPr>
          <w:rFonts w:ascii="Arial" w:hAnsi="Arial" w:cs="Arial"/>
          <w:sz w:val="18"/>
          <w:szCs w:val="18"/>
        </w:rPr>
        <w:t>; sobre la Producción, el Consumo y las transacciones por un importe de $</w:t>
      </w:r>
      <w:r w:rsidR="005D1457">
        <w:rPr>
          <w:rFonts w:ascii="Arial" w:hAnsi="Arial" w:cs="Arial"/>
          <w:sz w:val="18"/>
          <w:szCs w:val="18"/>
        </w:rPr>
        <w:t>12</w:t>
      </w:r>
      <w:r>
        <w:rPr>
          <w:rFonts w:ascii="Arial" w:hAnsi="Arial" w:cs="Arial"/>
          <w:sz w:val="18"/>
          <w:szCs w:val="18"/>
        </w:rPr>
        <w:t>,</w:t>
      </w:r>
      <w:r w:rsidR="005D1457">
        <w:rPr>
          <w:rFonts w:ascii="Arial" w:hAnsi="Arial" w:cs="Arial"/>
          <w:sz w:val="18"/>
          <w:szCs w:val="18"/>
        </w:rPr>
        <w:t>923</w:t>
      </w:r>
      <w:r>
        <w:rPr>
          <w:rFonts w:ascii="Arial" w:hAnsi="Arial" w:cs="Arial"/>
          <w:sz w:val="18"/>
          <w:szCs w:val="18"/>
        </w:rPr>
        <w:t>,</w:t>
      </w:r>
      <w:r w:rsidR="005D1457">
        <w:rPr>
          <w:rFonts w:ascii="Arial" w:hAnsi="Arial" w:cs="Arial"/>
          <w:sz w:val="18"/>
          <w:szCs w:val="18"/>
        </w:rPr>
        <w:t>096</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5D1457">
        <w:rPr>
          <w:rFonts w:ascii="Arial" w:hAnsi="Arial" w:cs="Arial"/>
          <w:sz w:val="18"/>
          <w:szCs w:val="18"/>
        </w:rPr>
        <w:t>3</w:t>
      </w:r>
      <w:r>
        <w:rPr>
          <w:rFonts w:ascii="Arial" w:hAnsi="Arial" w:cs="Arial"/>
          <w:sz w:val="18"/>
          <w:szCs w:val="18"/>
        </w:rPr>
        <w:t>,</w:t>
      </w:r>
      <w:r w:rsidR="005D1457">
        <w:rPr>
          <w:rFonts w:ascii="Arial" w:hAnsi="Arial" w:cs="Arial"/>
          <w:sz w:val="18"/>
          <w:szCs w:val="18"/>
        </w:rPr>
        <w:t>465</w:t>
      </w:r>
      <w:r>
        <w:rPr>
          <w:rFonts w:ascii="Arial" w:hAnsi="Arial" w:cs="Arial"/>
          <w:sz w:val="18"/>
          <w:szCs w:val="18"/>
        </w:rPr>
        <w:t>,</w:t>
      </w:r>
      <w:r w:rsidR="005D1457">
        <w:rPr>
          <w:rFonts w:ascii="Arial" w:hAnsi="Arial" w:cs="Arial"/>
          <w:sz w:val="18"/>
          <w:szCs w:val="18"/>
        </w:rPr>
        <w:t>514</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5D1457">
        <w:rPr>
          <w:rFonts w:ascii="Arial" w:hAnsi="Arial" w:cs="Arial"/>
          <w:sz w:val="18"/>
          <w:szCs w:val="18"/>
        </w:rPr>
        <w:t xml:space="preserve">diferencial </w:t>
      </w:r>
      <w:r w:rsidR="00304672">
        <w:rPr>
          <w:rFonts w:ascii="Arial" w:hAnsi="Arial" w:cs="Arial"/>
          <w:sz w:val="18"/>
          <w:szCs w:val="18"/>
        </w:rPr>
        <w:t xml:space="preserve">en impuestos del </w:t>
      </w:r>
      <w:r w:rsidR="005357BB">
        <w:rPr>
          <w:rFonts w:ascii="Arial" w:hAnsi="Arial" w:cs="Arial"/>
          <w:sz w:val="18"/>
          <w:szCs w:val="18"/>
        </w:rPr>
        <w:t>2</w:t>
      </w:r>
      <w:r w:rsidR="005D1457">
        <w:rPr>
          <w:rFonts w:ascii="Arial" w:hAnsi="Arial" w:cs="Arial"/>
          <w:sz w:val="18"/>
          <w:szCs w:val="18"/>
        </w:rPr>
        <w:t>8</w:t>
      </w:r>
      <w:r w:rsidR="00304672">
        <w:rPr>
          <w:rFonts w:ascii="Arial" w:hAnsi="Arial" w:cs="Arial"/>
          <w:sz w:val="18"/>
          <w:szCs w:val="18"/>
        </w:rPr>
        <w:t xml:space="preserve">% respecto </w:t>
      </w:r>
      <w:r w:rsidR="005357BB">
        <w:rPr>
          <w:rFonts w:ascii="Arial" w:hAnsi="Arial" w:cs="Arial"/>
          <w:sz w:val="18"/>
          <w:szCs w:val="18"/>
        </w:rPr>
        <w:t xml:space="preserve">al mismo trimestre </w:t>
      </w:r>
      <w:r w:rsidR="00304672">
        <w:rPr>
          <w:rFonts w:ascii="Arial" w:hAnsi="Arial" w:cs="Arial"/>
          <w:sz w:val="18"/>
          <w:szCs w:val="18"/>
        </w:rPr>
        <w:t>del ejercicio 202</w:t>
      </w:r>
      <w:r w:rsidR="005D1457">
        <w:rPr>
          <w:rFonts w:ascii="Arial" w:hAnsi="Arial" w:cs="Arial"/>
          <w:sz w:val="18"/>
          <w:szCs w:val="18"/>
        </w:rPr>
        <w:t>3</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577C5D28"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5D1457">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sidR="005D1457">
        <w:rPr>
          <w:rFonts w:ascii="Arial" w:hAnsi="Arial" w:cs="Arial"/>
          <w:sz w:val="18"/>
          <w:szCs w:val="18"/>
        </w:rPr>
        <w:t>209</w:t>
      </w:r>
      <w:r>
        <w:rPr>
          <w:rFonts w:ascii="Arial" w:hAnsi="Arial" w:cs="Arial"/>
          <w:sz w:val="18"/>
          <w:szCs w:val="18"/>
        </w:rPr>
        <w:t>,</w:t>
      </w:r>
      <w:r w:rsidR="005D1457">
        <w:rPr>
          <w:rFonts w:ascii="Arial" w:hAnsi="Arial" w:cs="Arial"/>
          <w:sz w:val="18"/>
          <w:szCs w:val="18"/>
        </w:rPr>
        <w:t>534</w:t>
      </w:r>
      <w:r>
        <w:rPr>
          <w:rFonts w:ascii="Arial" w:hAnsi="Arial" w:cs="Arial"/>
          <w:sz w:val="18"/>
          <w:szCs w:val="18"/>
        </w:rPr>
        <w:t>,</w:t>
      </w:r>
      <w:r w:rsidR="005D1457">
        <w:rPr>
          <w:rFonts w:ascii="Arial" w:hAnsi="Arial" w:cs="Arial"/>
          <w:sz w:val="18"/>
          <w:szCs w:val="18"/>
        </w:rPr>
        <w:t>606</w:t>
      </w:r>
      <w:r w:rsidRPr="0073056A">
        <w:rPr>
          <w:rFonts w:ascii="Arial" w:hAnsi="Arial" w:cs="Arial"/>
          <w:sz w:val="18"/>
          <w:szCs w:val="18"/>
        </w:rPr>
        <w:t>.</w:t>
      </w:r>
      <w:r w:rsidR="00304672">
        <w:rPr>
          <w:rFonts w:ascii="Arial" w:hAnsi="Arial" w:cs="Arial"/>
          <w:sz w:val="18"/>
          <w:szCs w:val="18"/>
        </w:rPr>
        <w:t xml:space="preserve"> Mostrando un </w:t>
      </w:r>
      <w:r w:rsidR="005D1457">
        <w:rPr>
          <w:rFonts w:ascii="Arial" w:hAnsi="Arial" w:cs="Arial"/>
          <w:sz w:val="18"/>
          <w:szCs w:val="18"/>
        </w:rPr>
        <w:t>de</w:t>
      </w:r>
      <w:r w:rsidR="00304672">
        <w:rPr>
          <w:rFonts w:ascii="Arial" w:hAnsi="Arial" w:cs="Arial"/>
          <w:sz w:val="18"/>
          <w:szCs w:val="18"/>
        </w:rPr>
        <w:t xml:space="preserve">cremento del </w:t>
      </w:r>
      <w:r w:rsidR="005357BB">
        <w:rPr>
          <w:rFonts w:ascii="Arial" w:hAnsi="Arial" w:cs="Arial"/>
          <w:sz w:val="18"/>
          <w:szCs w:val="18"/>
        </w:rPr>
        <w:t>9</w:t>
      </w:r>
      <w:r w:rsidR="00304672">
        <w:rPr>
          <w:rFonts w:ascii="Arial" w:hAnsi="Arial" w:cs="Arial"/>
          <w:sz w:val="18"/>
          <w:szCs w:val="18"/>
        </w:rPr>
        <w:t xml:space="preserve">% respecto al </w:t>
      </w:r>
      <w:r w:rsidR="00935A49">
        <w:rPr>
          <w:rFonts w:ascii="Arial" w:hAnsi="Arial" w:cs="Arial"/>
          <w:sz w:val="18"/>
          <w:szCs w:val="18"/>
        </w:rPr>
        <w:t xml:space="preserve">mismo periodo del </w:t>
      </w:r>
      <w:r w:rsidR="007A327C">
        <w:rPr>
          <w:rFonts w:ascii="Arial" w:hAnsi="Arial" w:cs="Arial"/>
          <w:sz w:val="18"/>
          <w:szCs w:val="18"/>
        </w:rPr>
        <w:t>ejercicio</w:t>
      </w:r>
      <w:r w:rsidR="00304672">
        <w:rPr>
          <w:rFonts w:ascii="Arial" w:hAnsi="Arial" w:cs="Arial"/>
          <w:sz w:val="18"/>
          <w:szCs w:val="18"/>
        </w:rPr>
        <w:t xml:space="preserve"> 202</w:t>
      </w:r>
      <w:r w:rsidR="005D1457">
        <w:rPr>
          <w:rFonts w:ascii="Arial" w:hAnsi="Arial" w:cs="Arial"/>
          <w:sz w:val="18"/>
          <w:szCs w:val="18"/>
        </w:rPr>
        <w:t>3</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211A05F6"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5D1457">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5D1457">
        <w:rPr>
          <w:rFonts w:ascii="Arial" w:hAnsi="Arial" w:cs="Arial"/>
          <w:sz w:val="18"/>
          <w:szCs w:val="18"/>
        </w:rPr>
        <w:t>89</w:t>
      </w:r>
      <w:r w:rsidRPr="00502DDD">
        <w:rPr>
          <w:rFonts w:ascii="Arial" w:hAnsi="Arial" w:cs="Arial"/>
          <w:sz w:val="18"/>
          <w:szCs w:val="18"/>
        </w:rPr>
        <w:t>,</w:t>
      </w:r>
      <w:r w:rsidR="00C03317">
        <w:rPr>
          <w:rFonts w:ascii="Arial" w:hAnsi="Arial" w:cs="Arial"/>
          <w:sz w:val="18"/>
          <w:szCs w:val="18"/>
        </w:rPr>
        <w:t>6</w:t>
      </w:r>
      <w:r w:rsidR="005D1457">
        <w:rPr>
          <w:rFonts w:ascii="Arial" w:hAnsi="Arial" w:cs="Arial"/>
          <w:sz w:val="18"/>
          <w:szCs w:val="18"/>
        </w:rPr>
        <w:t>38</w:t>
      </w:r>
      <w:r w:rsidRPr="00502DDD">
        <w:rPr>
          <w:rFonts w:ascii="Arial" w:hAnsi="Arial" w:cs="Arial"/>
          <w:sz w:val="18"/>
          <w:szCs w:val="18"/>
        </w:rPr>
        <w:t>,</w:t>
      </w:r>
      <w:r w:rsidR="005D1457">
        <w:rPr>
          <w:rFonts w:ascii="Arial" w:hAnsi="Arial" w:cs="Arial"/>
          <w:sz w:val="18"/>
          <w:szCs w:val="18"/>
        </w:rPr>
        <w:t>123</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935A49">
        <w:rPr>
          <w:rFonts w:ascii="Arial" w:hAnsi="Arial" w:cs="Arial"/>
          <w:sz w:val="18"/>
          <w:szCs w:val="18"/>
        </w:rPr>
        <w:t>in</w:t>
      </w:r>
      <w:r w:rsidR="00304672">
        <w:rPr>
          <w:rFonts w:ascii="Arial" w:hAnsi="Arial" w:cs="Arial"/>
          <w:sz w:val="18"/>
          <w:szCs w:val="18"/>
        </w:rPr>
        <w:t xml:space="preserve">cremento del </w:t>
      </w:r>
      <w:r w:rsidR="005D1457">
        <w:rPr>
          <w:rFonts w:ascii="Arial" w:hAnsi="Arial" w:cs="Arial"/>
          <w:sz w:val="18"/>
          <w:szCs w:val="18"/>
        </w:rPr>
        <w:t>7</w:t>
      </w:r>
      <w:r w:rsidR="00935A49">
        <w:rPr>
          <w:rFonts w:ascii="Arial" w:hAnsi="Arial" w:cs="Arial"/>
          <w:sz w:val="18"/>
          <w:szCs w:val="18"/>
        </w:rPr>
        <w:t>1</w:t>
      </w:r>
      <w:r w:rsidR="00304672">
        <w:rPr>
          <w:rFonts w:ascii="Arial" w:hAnsi="Arial" w:cs="Arial"/>
          <w:sz w:val="18"/>
          <w:szCs w:val="18"/>
        </w:rPr>
        <w:t xml:space="preserve">% respecto </w:t>
      </w:r>
      <w:r w:rsidR="00935A49">
        <w:rPr>
          <w:rFonts w:ascii="Arial" w:hAnsi="Arial" w:cs="Arial"/>
          <w:sz w:val="18"/>
          <w:szCs w:val="18"/>
        </w:rPr>
        <w:t xml:space="preserve">al mismo trimestre </w:t>
      </w:r>
      <w:r w:rsidR="00304672">
        <w:rPr>
          <w:rFonts w:ascii="Arial" w:hAnsi="Arial" w:cs="Arial"/>
          <w:sz w:val="18"/>
          <w:szCs w:val="18"/>
        </w:rPr>
        <w:t>del ejercicio 202</w:t>
      </w:r>
      <w:r w:rsidR="005D1457">
        <w:rPr>
          <w:rFonts w:ascii="Arial" w:hAnsi="Arial" w:cs="Arial"/>
          <w:sz w:val="18"/>
          <w:szCs w:val="18"/>
        </w:rPr>
        <w:t>3</w:t>
      </w:r>
      <w:r w:rsidR="00304672">
        <w:rPr>
          <w:rFonts w:ascii="Arial" w:hAnsi="Arial" w:cs="Arial"/>
          <w:sz w:val="18"/>
          <w:szCs w:val="18"/>
        </w:rPr>
        <w:t>.</w:t>
      </w: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2D0EAFDD" w14:textId="2571EF70"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4833FD">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4833FD">
        <w:rPr>
          <w:rFonts w:ascii="Arial" w:hAnsi="Arial" w:cs="Arial"/>
          <w:sz w:val="18"/>
          <w:szCs w:val="18"/>
        </w:rPr>
        <w:t>4</w:t>
      </w:r>
      <w:r w:rsidRPr="0073056A">
        <w:rPr>
          <w:rFonts w:ascii="Arial" w:hAnsi="Arial" w:cs="Arial"/>
          <w:sz w:val="18"/>
          <w:szCs w:val="18"/>
        </w:rPr>
        <w:t>, el Estado obtuvo ingresos por concepto de Aprovechamientos por un monto de $</w:t>
      </w:r>
      <w:r w:rsidR="004833FD">
        <w:rPr>
          <w:rFonts w:ascii="Arial" w:hAnsi="Arial" w:cs="Arial"/>
          <w:sz w:val="18"/>
          <w:szCs w:val="18"/>
        </w:rPr>
        <w:t>856</w:t>
      </w:r>
      <w:r w:rsidR="00363494">
        <w:rPr>
          <w:rFonts w:ascii="Arial" w:hAnsi="Arial" w:cs="Arial"/>
          <w:sz w:val="18"/>
          <w:szCs w:val="18"/>
        </w:rPr>
        <w:t>,</w:t>
      </w:r>
      <w:r w:rsidR="004833FD">
        <w:rPr>
          <w:rFonts w:ascii="Arial" w:hAnsi="Arial" w:cs="Arial"/>
          <w:sz w:val="18"/>
          <w:szCs w:val="18"/>
        </w:rPr>
        <w:t>543</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935A49">
        <w:rPr>
          <w:rFonts w:ascii="Arial" w:hAnsi="Arial" w:cs="Arial"/>
          <w:sz w:val="18"/>
          <w:szCs w:val="18"/>
        </w:rPr>
        <w:t>de</w:t>
      </w:r>
      <w:r w:rsidR="00EC5C97">
        <w:rPr>
          <w:rFonts w:ascii="Arial" w:hAnsi="Arial" w:cs="Arial"/>
          <w:sz w:val="18"/>
          <w:szCs w:val="18"/>
        </w:rPr>
        <w:t xml:space="preserve">cremento del </w:t>
      </w:r>
      <w:r w:rsidR="004833FD">
        <w:rPr>
          <w:rFonts w:ascii="Arial" w:hAnsi="Arial" w:cs="Arial"/>
          <w:sz w:val="18"/>
          <w:szCs w:val="18"/>
        </w:rPr>
        <w:t>6</w:t>
      </w:r>
      <w:r w:rsidR="00935A49">
        <w:rPr>
          <w:rFonts w:ascii="Arial" w:hAnsi="Arial" w:cs="Arial"/>
          <w:sz w:val="18"/>
          <w:szCs w:val="18"/>
        </w:rPr>
        <w:t>9</w:t>
      </w:r>
      <w:r w:rsidR="00EC5C97">
        <w:rPr>
          <w:rFonts w:ascii="Arial" w:hAnsi="Arial" w:cs="Arial"/>
          <w:sz w:val="18"/>
          <w:szCs w:val="18"/>
        </w:rPr>
        <w:t xml:space="preserve">% en relación al </w:t>
      </w:r>
      <w:r w:rsidR="00935A49">
        <w:rPr>
          <w:rFonts w:ascii="Arial" w:hAnsi="Arial" w:cs="Arial"/>
          <w:sz w:val="18"/>
          <w:szCs w:val="18"/>
        </w:rPr>
        <w:t xml:space="preserve">mismo periodo del </w:t>
      </w:r>
      <w:r w:rsidR="007A327C">
        <w:rPr>
          <w:rFonts w:ascii="Arial" w:hAnsi="Arial" w:cs="Arial"/>
          <w:sz w:val="18"/>
          <w:szCs w:val="18"/>
        </w:rPr>
        <w:t>ejercicio</w:t>
      </w:r>
      <w:r w:rsidR="00EC5C97">
        <w:rPr>
          <w:rFonts w:ascii="Arial" w:hAnsi="Arial" w:cs="Arial"/>
          <w:sz w:val="18"/>
          <w:szCs w:val="18"/>
        </w:rPr>
        <w:t xml:space="preserve"> 202</w:t>
      </w:r>
      <w:r w:rsidR="004833FD">
        <w:rPr>
          <w:rFonts w:ascii="Arial" w:hAnsi="Arial" w:cs="Arial"/>
          <w:sz w:val="18"/>
          <w:szCs w:val="18"/>
        </w:rPr>
        <w:t>3</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59F1F47C" w:rsidR="004C1616" w:rsidRDefault="00FE1848" w:rsidP="004C1616">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337CFD">
        <w:rPr>
          <w:rFonts w:ascii="Arial" w:hAnsi="Arial" w:cs="Arial"/>
          <w:sz w:val="18"/>
          <w:szCs w:val="18"/>
        </w:rPr>
        <w:t>50</w:t>
      </w:r>
      <w:r w:rsidRPr="004D6FA0">
        <w:rPr>
          <w:rFonts w:ascii="Arial" w:hAnsi="Arial" w:cs="Arial"/>
          <w:sz w:val="18"/>
          <w:szCs w:val="18"/>
        </w:rPr>
        <w:t>,</w:t>
      </w:r>
      <w:r w:rsidR="00337CFD">
        <w:rPr>
          <w:rFonts w:ascii="Arial" w:hAnsi="Arial" w:cs="Arial"/>
          <w:sz w:val="18"/>
          <w:szCs w:val="18"/>
        </w:rPr>
        <w:t>566</w:t>
      </w:r>
      <w:r w:rsidRPr="004D6FA0">
        <w:rPr>
          <w:rFonts w:ascii="Arial" w:hAnsi="Arial" w:cs="Arial"/>
          <w:sz w:val="18"/>
          <w:szCs w:val="18"/>
        </w:rPr>
        <w:t>,</w:t>
      </w:r>
      <w:r w:rsidR="00337CFD">
        <w:rPr>
          <w:rFonts w:ascii="Arial" w:hAnsi="Arial" w:cs="Arial"/>
          <w:sz w:val="18"/>
          <w:szCs w:val="18"/>
        </w:rPr>
        <w:t>252</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935A49">
        <w:rPr>
          <w:rFonts w:ascii="Arial" w:hAnsi="Arial" w:cs="Arial"/>
          <w:sz w:val="18"/>
          <w:szCs w:val="18"/>
        </w:rPr>
        <w:t>in</w:t>
      </w:r>
      <w:r w:rsidR="00EC5C97">
        <w:rPr>
          <w:rFonts w:ascii="Arial" w:hAnsi="Arial" w:cs="Arial"/>
          <w:sz w:val="18"/>
          <w:szCs w:val="18"/>
        </w:rPr>
        <w:t xml:space="preserve">cremento del </w:t>
      </w:r>
      <w:r w:rsidR="00337CFD">
        <w:rPr>
          <w:rFonts w:ascii="Arial" w:hAnsi="Arial" w:cs="Arial"/>
          <w:sz w:val="18"/>
          <w:szCs w:val="18"/>
        </w:rPr>
        <w:t>60</w:t>
      </w:r>
      <w:r w:rsidR="00EC5C97">
        <w:rPr>
          <w:rFonts w:ascii="Arial" w:hAnsi="Arial" w:cs="Arial"/>
          <w:sz w:val="18"/>
          <w:szCs w:val="18"/>
        </w:rPr>
        <w:t xml:space="preserve">% en este rubro, respecto </w:t>
      </w:r>
      <w:r w:rsidR="00935A49">
        <w:rPr>
          <w:rFonts w:ascii="Arial" w:hAnsi="Arial" w:cs="Arial"/>
          <w:sz w:val="18"/>
          <w:szCs w:val="18"/>
        </w:rPr>
        <w:t xml:space="preserve">al mismo trimestre </w:t>
      </w:r>
      <w:r w:rsidR="00EC5C97">
        <w:rPr>
          <w:rFonts w:ascii="Arial" w:hAnsi="Arial" w:cs="Arial"/>
          <w:sz w:val="18"/>
          <w:szCs w:val="18"/>
        </w:rPr>
        <w:t>del ejercicio 202</w:t>
      </w:r>
      <w:r w:rsidR="00337CFD">
        <w:rPr>
          <w:rFonts w:ascii="Arial" w:hAnsi="Arial" w:cs="Arial"/>
          <w:sz w:val="18"/>
          <w:szCs w:val="18"/>
        </w:rPr>
        <w:t>3</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014C6445"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337CFD">
        <w:rPr>
          <w:rFonts w:ascii="Arial" w:hAnsi="Arial" w:cs="Arial"/>
          <w:sz w:val="18"/>
          <w:szCs w:val="18"/>
        </w:rPr>
        <w:t>5</w:t>
      </w:r>
      <w:r>
        <w:rPr>
          <w:rFonts w:ascii="Arial" w:hAnsi="Arial" w:cs="Arial"/>
          <w:sz w:val="18"/>
          <w:szCs w:val="18"/>
        </w:rPr>
        <w:t>,</w:t>
      </w:r>
      <w:r w:rsidR="00337CFD">
        <w:rPr>
          <w:rFonts w:ascii="Arial" w:hAnsi="Arial" w:cs="Arial"/>
          <w:sz w:val="18"/>
          <w:szCs w:val="18"/>
        </w:rPr>
        <w:t>576</w:t>
      </w:r>
      <w:r>
        <w:rPr>
          <w:rFonts w:ascii="Arial" w:hAnsi="Arial" w:cs="Arial"/>
          <w:sz w:val="18"/>
          <w:szCs w:val="18"/>
        </w:rPr>
        <w:t>,</w:t>
      </w:r>
      <w:r w:rsidR="00337CFD">
        <w:rPr>
          <w:rFonts w:ascii="Arial" w:hAnsi="Arial" w:cs="Arial"/>
          <w:sz w:val="18"/>
          <w:szCs w:val="18"/>
        </w:rPr>
        <w:t>888</w:t>
      </w:r>
      <w:r>
        <w:rPr>
          <w:rFonts w:ascii="Arial" w:hAnsi="Arial" w:cs="Arial"/>
          <w:sz w:val="18"/>
          <w:szCs w:val="18"/>
        </w:rPr>
        <w:t>,</w:t>
      </w:r>
      <w:r w:rsidR="00337CFD">
        <w:rPr>
          <w:rFonts w:ascii="Arial" w:hAnsi="Arial" w:cs="Arial"/>
          <w:sz w:val="18"/>
          <w:szCs w:val="18"/>
        </w:rPr>
        <w:t>890</w:t>
      </w:r>
      <w:r>
        <w:rPr>
          <w:rFonts w:ascii="Arial" w:hAnsi="Arial" w:cs="Arial"/>
          <w:sz w:val="18"/>
          <w:szCs w:val="18"/>
        </w:rPr>
        <w:t xml:space="preserve"> al mes de </w:t>
      </w:r>
      <w:r w:rsidR="00337CFD">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337CFD">
        <w:rPr>
          <w:rFonts w:ascii="Arial" w:hAnsi="Arial" w:cs="Arial"/>
          <w:sz w:val="18"/>
          <w:szCs w:val="18"/>
        </w:rPr>
        <w:t>4</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935A49">
        <w:rPr>
          <w:rFonts w:ascii="Arial" w:hAnsi="Arial" w:cs="Arial"/>
          <w:sz w:val="18"/>
          <w:szCs w:val="18"/>
        </w:rPr>
        <w:t xml:space="preserve">mismo trimestre del </w:t>
      </w:r>
      <w:r w:rsidR="00222D09">
        <w:rPr>
          <w:rFonts w:ascii="Arial" w:hAnsi="Arial" w:cs="Arial"/>
          <w:sz w:val="18"/>
          <w:szCs w:val="18"/>
        </w:rPr>
        <w:t>ejercicio</w:t>
      </w:r>
      <w:r w:rsidR="00EC5C97">
        <w:rPr>
          <w:rFonts w:ascii="Arial" w:hAnsi="Arial" w:cs="Arial"/>
          <w:sz w:val="18"/>
          <w:szCs w:val="18"/>
        </w:rPr>
        <w:t xml:space="preserve"> de 202</w:t>
      </w:r>
      <w:r w:rsidR="00337CFD">
        <w:rPr>
          <w:rFonts w:ascii="Arial" w:hAnsi="Arial" w:cs="Arial"/>
          <w:sz w:val="18"/>
          <w:szCs w:val="18"/>
        </w:rPr>
        <w:t>3</w:t>
      </w:r>
      <w:r w:rsidR="00EC5C97">
        <w:rPr>
          <w:rFonts w:ascii="Arial" w:hAnsi="Arial" w:cs="Arial"/>
          <w:sz w:val="18"/>
          <w:szCs w:val="18"/>
        </w:rPr>
        <w:t xml:space="preserve">, presenta un </w:t>
      </w:r>
      <w:r w:rsidR="00337CFD">
        <w:rPr>
          <w:rFonts w:ascii="Arial" w:hAnsi="Arial" w:cs="Arial"/>
          <w:sz w:val="18"/>
          <w:szCs w:val="18"/>
        </w:rPr>
        <w:t>de</w:t>
      </w:r>
      <w:r w:rsidR="00EC5C97">
        <w:rPr>
          <w:rFonts w:ascii="Arial" w:hAnsi="Arial" w:cs="Arial"/>
          <w:sz w:val="18"/>
          <w:szCs w:val="18"/>
        </w:rPr>
        <w:t xml:space="preserve">cremento del </w:t>
      </w:r>
      <w:r w:rsidR="00935A49">
        <w:rPr>
          <w:rFonts w:ascii="Arial" w:hAnsi="Arial" w:cs="Arial"/>
          <w:sz w:val="18"/>
          <w:szCs w:val="18"/>
        </w:rPr>
        <w:t>3</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33215398"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337CFD">
        <w:rPr>
          <w:rFonts w:ascii="Arial" w:hAnsi="Arial" w:cs="Arial"/>
          <w:sz w:val="18"/>
          <w:szCs w:val="18"/>
        </w:rPr>
        <w:t>3</w:t>
      </w:r>
      <w:r>
        <w:rPr>
          <w:rFonts w:ascii="Arial" w:hAnsi="Arial" w:cs="Arial"/>
          <w:sz w:val="18"/>
          <w:szCs w:val="18"/>
        </w:rPr>
        <w:t>,</w:t>
      </w:r>
      <w:r w:rsidR="00337CFD">
        <w:rPr>
          <w:rFonts w:ascii="Arial" w:hAnsi="Arial" w:cs="Arial"/>
          <w:sz w:val="18"/>
          <w:szCs w:val="18"/>
        </w:rPr>
        <w:t>269</w:t>
      </w:r>
      <w:r>
        <w:rPr>
          <w:rFonts w:ascii="Arial" w:hAnsi="Arial" w:cs="Arial"/>
          <w:sz w:val="18"/>
          <w:szCs w:val="18"/>
        </w:rPr>
        <w:t>,</w:t>
      </w:r>
      <w:r w:rsidR="00337CFD">
        <w:rPr>
          <w:rFonts w:ascii="Arial" w:hAnsi="Arial" w:cs="Arial"/>
          <w:sz w:val="18"/>
          <w:szCs w:val="18"/>
        </w:rPr>
        <w:t>260</w:t>
      </w:r>
      <w:r>
        <w:rPr>
          <w:rFonts w:ascii="Arial" w:hAnsi="Arial" w:cs="Arial"/>
          <w:sz w:val="18"/>
          <w:szCs w:val="18"/>
        </w:rPr>
        <w:t>,</w:t>
      </w:r>
      <w:r w:rsidR="00337CFD">
        <w:rPr>
          <w:rFonts w:ascii="Arial" w:hAnsi="Arial" w:cs="Arial"/>
          <w:sz w:val="18"/>
          <w:szCs w:val="18"/>
        </w:rPr>
        <w:t>979</w:t>
      </w:r>
      <w:r>
        <w:rPr>
          <w:rFonts w:ascii="Arial" w:hAnsi="Arial" w:cs="Arial"/>
          <w:sz w:val="18"/>
          <w:szCs w:val="18"/>
        </w:rPr>
        <w:t xml:space="preserve">, siendo el rubro más importante el Fondo General de Participaciones ya que representa el </w:t>
      </w:r>
      <w:r w:rsidR="001054F7">
        <w:rPr>
          <w:rFonts w:ascii="Arial" w:hAnsi="Arial" w:cs="Arial"/>
          <w:sz w:val="18"/>
          <w:szCs w:val="18"/>
        </w:rPr>
        <w:t>7</w:t>
      </w:r>
      <w:r w:rsidR="00337CFD">
        <w:rPr>
          <w:rFonts w:ascii="Arial" w:hAnsi="Arial" w:cs="Arial"/>
          <w:sz w:val="18"/>
          <w:szCs w:val="18"/>
        </w:rPr>
        <w:t>6</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12BAAE04"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DD43EF">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w:t>
      </w:r>
      <w:r w:rsidR="00DD43EF">
        <w:rPr>
          <w:rFonts w:ascii="Arial" w:hAnsi="Arial" w:cs="Arial"/>
          <w:sz w:val="18"/>
          <w:szCs w:val="18"/>
        </w:rPr>
        <w:t>4</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37A26F75" w:rsidR="00AE0E84" w:rsidRPr="0004135F" w:rsidRDefault="00337CFD"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69</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615</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431</w:t>
            </w:r>
          </w:p>
        </w:tc>
        <w:tc>
          <w:tcPr>
            <w:tcW w:w="1214" w:type="dxa"/>
            <w:tcBorders>
              <w:top w:val="nil"/>
              <w:left w:val="nil"/>
              <w:bottom w:val="single" w:sz="8" w:space="0" w:color="auto"/>
              <w:right w:val="single" w:sz="8" w:space="0" w:color="auto"/>
            </w:tcBorders>
            <w:shd w:val="clear" w:color="auto" w:fill="auto"/>
            <w:noWrap/>
            <w:vAlign w:val="center"/>
          </w:tcPr>
          <w:p w14:paraId="6E3D10BF" w14:textId="3A1C3507"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3.78</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3D23EE52" w:rsidR="00AE0E84" w:rsidRPr="0004135F" w:rsidRDefault="00337CF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585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120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056</w:t>
            </w:r>
          </w:p>
        </w:tc>
        <w:tc>
          <w:tcPr>
            <w:tcW w:w="1214" w:type="dxa"/>
            <w:tcBorders>
              <w:top w:val="nil"/>
              <w:left w:val="nil"/>
              <w:bottom w:val="single" w:sz="8" w:space="0" w:color="auto"/>
              <w:right w:val="single" w:sz="8" w:space="0" w:color="auto"/>
            </w:tcBorders>
            <w:shd w:val="clear" w:color="auto" w:fill="auto"/>
            <w:noWrap/>
            <w:vAlign w:val="center"/>
          </w:tcPr>
          <w:p w14:paraId="279F69EC" w14:textId="589EDA7E"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31.81</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40D6D8CF" w:rsidR="00AE0E84" w:rsidRPr="0004135F" w:rsidRDefault="00337CF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724</w:t>
            </w:r>
            <w:r w:rsidR="006141F9">
              <w:rPr>
                <w:rFonts w:eastAsia="Times New Roman" w:cstheme="minorHAnsi"/>
                <w:color w:val="000000"/>
                <w:sz w:val="20"/>
                <w:szCs w:val="18"/>
                <w:lang w:eastAsia="es-MX"/>
              </w:rPr>
              <w:t>,</w:t>
            </w:r>
            <w:r w:rsidR="00DD43EF">
              <w:rPr>
                <w:rFonts w:eastAsia="Times New Roman" w:cstheme="minorHAnsi"/>
                <w:color w:val="000000"/>
                <w:sz w:val="20"/>
                <w:szCs w:val="18"/>
                <w:lang w:eastAsia="es-MX"/>
              </w:rPr>
              <w:t>107</w:t>
            </w:r>
          </w:p>
        </w:tc>
        <w:tc>
          <w:tcPr>
            <w:tcW w:w="1214" w:type="dxa"/>
            <w:tcBorders>
              <w:top w:val="nil"/>
              <w:left w:val="nil"/>
              <w:bottom w:val="single" w:sz="8" w:space="0" w:color="auto"/>
              <w:right w:val="single" w:sz="8" w:space="0" w:color="auto"/>
            </w:tcBorders>
            <w:shd w:val="clear" w:color="auto" w:fill="auto"/>
            <w:noWrap/>
            <w:vAlign w:val="center"/>
          </w:tcPr>
          <w:p w14:paraId="5E3983A1" w14:textId="6BF6930E"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2.65</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1668A694"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353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241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819</w:t>
            </w:r>
          </w:p>
        </w:tc>
        <w:tc>
          <w:tcPr>
            <w:tcW w:w="1214" w:type="dxa"/>
            <w:tcBorders>
              <w:top w:val="nil"/>
              <w:left w:val="nil"/>
              <w:bottom w:val="single" w:sz="8" w:space="0" w:color="auto"/>
              <w:right w:val="single" w:sz="8" w:space="0" w:color="auto"/>
            </w:tcBorders>
            <w:shd w:val="clear" w:color="auto" w:fill="auto"/>
            <w:noWrap/>
            <w:vAlign w:val="center"/>
          </w:tcPr>
          <w:p w14:paraId="7F8B696D" w14:textId="441C7EFE"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19.21</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6B2C99AC"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316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126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059</w:t>
            </w:r>
          </w:p>
        </w:tc>
        <w:tc>
          <w:tcPr>
            <w:tcW w:w="1214" w:type="dxa"/>
            <w:tcBorders>
              <w:top w:val="nil"/>
              <w:left w:val="nil"/>
              <w:bottom w:val="single" w:sz="8" w:space="0" w:color="auto"/>
              <w:right w:val="single" w:sz="8" w:space="0" w:color="auto"/>
            </w:tcBorders>
            <w:shd w:val="clear" w:color="auto" w:fill="auto"/>
            <w:noWrap/>
            <w:vAlign w:val="center"/>
          </w:tcPr>
          <w:p w14:paraId="7186E41E" w14:textId="0D20B0AE" w:rsidR="000B552D"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17.19</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675ED755" w:rsidR="00E828CB"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148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801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858</w:t>
            </w:r>
          </w:p>
        </w:tc>
        <w:tc>
          <w:tcPr>
            <w:tcW w:w="1214" w:type="dxa"/>
            <w:tcBorders>
              <w:top w:val="nil"/>
              <w:left w:val="nil"/>
              <w:bottom w:val="single" w:sz="8" w:space="0" w:color="auto"/>
              <w:right w:val="single" w:sz="8" w:space="0" w:color="auto"/>
            </w:tcBorders>
            <w:shd w:val="clear" w:color="auto" w:fill="auto"/>
            <w:noWrap/>
            <w:vAlign w:val="center"/>
          </w:tcPr>
          <w:p w14:paraId="173E7ADB" w14:textId="3B658F95" w:rsidR="00E828CB"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8.09</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707EB5AB"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780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267</w:t>
            </w:r>
          </w:p>
        </w:tc>
        <w:tc>
          <w:tcPr>
            <w:tcW w:w="1214" w:type="dxa"/>
            <w:tcBorders>
              <w:top w:val="nil"/>
              <w:left w:val="nil"/>
              <w:bottom w:val="single" w:sz="8" w:space="0" w:color="auto"/>
              <w:right w:val="single" w:sz="8" w:space="0" w:color="auto"/>
            </w:tcBorders>
            <w:shd w:val="clear" w:color="auto" w:fill="auto"/>
            <w:noWrap/>
            <w:vAlign w:val="center"/>
          </w:tcPr>
          <w:p w14:paraId="6C945F4F" w14:textId="78872623"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0.80</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1143BA7B"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733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059</w:t>
            </w:r>
          </w:p>
        </w:tc>
        <w:tc>
          <w:tcPr>
            <w:tcW w:w="1214" w:type="dxa"/>
            <w:tcBorders>
              <w:top w:val="nil"/>
              <w:left w:val="nil"/>
              <w:bottom w:val="single" w:sz="8" w:space="0" w:color="auto"/>
              <w:right w:val="single" w:sz="8" w:space="0" w:color="auto"/>
            </w:tcBorders>
            <w:shd w:val="clear" w:color="auto" w:fill="auto"/>
            <w:noWrap/>
            <w:vAlign w:val="center"/>
          </w:tcPr>
          <w:p w14:paraId="4FDD53D7" w14:textId="21A6642D"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0.91</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24266BCA"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640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274</w:t>
            </w:r>
          </w:p>
        </w:tc>
        <w:tc>
          <w:tcPr>
            <w:tcW w:w="1214" w:type="dxa"/>
            <w:tcBorders>
              <w:top w:val="nil"/>
              <w:left w:val="nil"/>
              <w:bottom w:val="single" w:sz="8" w:space="0" w:color="auto"/>
              <w:right w:val="single" w:sz="8" w:space="0" w:color="auto"/>
            </w:tcBorders>
            <w:shd w:val="clear" w:color="auto" w:fill="auto"/>
            <w:noWrap/>
            <w:vAlign w:val="center"/>
          </w:tcPr>
          <w:p w14:paraId="73AE023E" w14:textId="2507FF5C"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3.19</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05A40D2B"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22</w:t>
            </w:r>
            <w:r w:rsidR="00053994">
              <w:rPr>
                <w:rFonts w:eastAsia="Times New Roman" w:cstheme="minorHAnsi"/>
                <w:color w:val="000000"/>
                <w:sz w:val="20"/>
                <w:szCs w:val="18"/>
                <w:lang w:eastAsia="es-MX"/>
              </w:rPr>
              <w:t>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492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754</w:t>
            </w:r>
          </w:p>
        </w:tc>
        <w:tc>
          <w:tcPr>
            <w:tcW w:w="1214" w:type="dxa"/>
            <w:tcBorders>
              <w:top w:val="nil"/>
              <w:left w:val="nil"/>
              <w:bottom w:val="single" w:sz="8" w:space="0" w:color="auto"/>
              <w:right w:val="single" w:sz="8" w:space="0" w:color="auto"/>
            </w:tcBorders>
            <w:shd w:val="clear" w:color="auto" w:fill="auto"/>
            <w:noWrap/>
            <w:vAlign w:val="center"/>
          </w:tcPr>
          <w:p w14:paraId="2DD88D54" w14:textId="72E1AA4B"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12.37</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6267BE80" w:rsidR="00AE0E84" w:rsidRPr="00053994" w:rsidRDefault="008A44D6" w:rsidP="008A44D6">
            <w:pPr>
              <w:spacing w:after="0" w:line="240" w:lineRule="auto"/>
              <w:jc w:val="right"/>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 xml:space="preserve">  </w:t>
            </w:r>
            <w:r w:rsidR="00053994" w:rsidRPr="00053994">
              <w:rPr>
                <w:rFonts w:eastAsia="Times New Roman" w:cstheme="minorHAnsi"/>
                <w:b/>
                <w:bCs/>
                <w:color w:val="000000"/>
                <w:sz w:val="20"/>
                <w:szCs w:val="18"/>
                <w:lang w:eastAsia="es-MX"/>
              </w:rPr>
              <w:t>1</w:t>
            </w:r>
            <w:r w:rsidR="00AE0E84" w:rsidRPr="00053994">
              <w:rPr>
                <w:rFonts w:eastAsia="Times New Roman" w:cstheme="minorHAnsi"/>
                <w:b/>
                <w:bCs/>
                <w:color w:val="000000"/>
                <w:sz w:val="20"/>
                <w:szCs w:val="18"/>
                <w:lang w:eastAsia="es-MX"/>
              </w:rPr>
              <w:t>,</w:t>
            </w:r>
            <w:r w:rsidR="00DD43EF">
              <w:rPr>
                <w:rFonts w:eastAsia="Times New Roman" w:cstheme="minorHAnsi"/>
                <w:b/>
                <w:bCs/>
                <w:color w:val="000000"/>
                <w:sz w:val="20"/>
                <w:szCs w:val="18"/>
                <w:lang w:eastAsia="es-MX"/>
              </w:rPr>
              <w:t>839</w:t>
            </w:r>
            <w:r w:rsidR="00AE0E84" w:rsidRPr="00053994">
              <w:rPr>
                <w:rFonts w:eastAsia="Times New Roman" w:cstheme="minorHAnsi"/>
                <w:b/>
                <w:bCs/>
                <w:color w:val="000000"/>
                <w:sz w:val="20"/>
                <w:szCs w:val="18"/>
                <w:lang w:eastAsia="es-MX"/>
              </w:rPr>
              <w:t>,</w:t>
            </w:r>
            <w:r w:rsidR="00DD43EF">
              <w:rPr>
                <w:rFonts w:eastAsia="Times New Roman" w:cstheme="minorHAnsi"/>
                <w:b/>
                <w:bCs/>
                <w:color w:val="000000"/>
                <w:sz w:val="20"/>
                <w:szCs w:val="18"/>
                <w:lang w:eastAsia="es-MX"/>
              </w:rPr>
              <w:t>2</w:t>
            </w:r>
            <w:r w:rsidR="00053994" w:rsidRPr="00053994">
              <w:rPr>
                <w:rFonts w:eastAsia="Times New Roman" w:cstheme="minorHAnsi"/>
                <w:b/>
                <w:bCs/>
                <w:color w:val="000000"/>
                <w:sz w:val="20"/>
                <w:szCs w:val="18"/>
                <w:lang w:eastAsia="es-MX"/>
              </w:rPr>
              <w:t>7</w:t>
            </w:r>
            <w:r w:rsidR="00DD43EF">
              <w:rPr>
                <w:rFonts w:eastAsia="Times New Roman" w:cstheme="minorHAnsi"/>
                <w:b/>
                <w:bCs/>
                <w:color w:val="000000"/>
                <w:sz w:val="20"/>
                <w:szCs w:val="18"/>
                <w:lang w:eastAsia="es-MX"/>
              </w:rPr>
              <w:t>5</w:t>
            </w:r>
            <w:r w:rsidR="00AE0E84" w:rsidRPr="00053994">
              <w:rPr>
                <w:rFonts w:eastAsia="Times New Roman" w:cstheme="minorHAnsi"/>
                <w:b/>
                <w:bCs/>
                <w:color w:val="000000"/>
                <w:sz w:val="20"/>
                <w:szCs w:val="18"/>
                <w:lang w:eastAsia="es-MX"/>
              </w:rPr>
              <w:t>,</w:t>
            </w:r>
            <w:r w:rsidR="00053994" w:rsidRPr="00053994">
              <w:rPr>
                <w:rFonts w:eastAsia="Times New Roman" w:cstheme="minorHAnsi"/>
                <w:b/>
                <w:bCs/>
                <w:color w:val="000000"/>
                <w:sz w:val="20"/>
                <w:szCs w:val="18"/>
                <w:lang w:eastAsia="es-MX"/>
              </w:rPr>
              <w:t>6</w:t>
            </w:r>
            <w:r w:rsidR="00DD43EF">
              <w:rPr>
                <w:rFonts w:eastAsia="Times New Roman" w:cstheme="minorHAnsi"/>
                <w:b/>
                <w:bCs/>
                <w:color w:val="000000"/>
                <w:sz w:val="20"/>
                <w:szCs w:val="18"/>
                <w:lang w:eastAsia="es-MX"/>
              </w:rPr>
              <w:t>8</w:t>
            </w:r>
            <w:r w:rsidR="00053994" w:rsidRPr="00053994">
              <w:rPr>
                <w:rFonts w:eastAsia="Times New Roman" w:cstheme="minorHAnsi"/>
                <w:b/>
                <w:bCs/>
                <w:color w:val="000000"/>
                <w:sz w:val="20"/>
                <w:szCs w:val="18"/>
                <w:lang w:eastAsia="es-MX"/>
              </w:rPr>
              <w:t>4</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694F2F6B" w:rsidR="00AE0E84" w:rsidRPr="00053994" w:rsidRDefault="00AE0E84" w:rsidP="00AE0E84">
            <w:pPr>
              <w:spacing w:after="0" w:line="240" w:lineRule="auto"/>
              <w:jc w:val="center"/>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100.0</w:t>
            </w:r>
            <w:r w:rsidR="00053994">
              <w:rPr>
                <w:rFonts w:eastAsia="Times New Roman" w:cstheme="minorHAnsi"/>
                <w:b/>
                <w:bCs/>
                <w:color w:val="000000"/>
                <w:sz w:val="20"/>
                <w:szCs w:val="18"/>
                <w:lang w:eastAsia="es-MX"/>
              </w:rPr>
              <w:t>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0322B4A5"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FE4134">
        <w:rPr>
          <w:rFonts w:ascii="Arial" w:hAnsi="Arial" w:cs="Arial"/>
          <w:sz w:val="18"/>
          <w:szCs w:val="18"/>
        </w:rPr>
        <w:t>marzo</w:t>
      </w:r>
      <w:r>
        <w:rPr>
          <w:rFonts w:ascii="Arial" w:hAnsi="Arial" w:cs="Arial"/>
          <w:sz w:val="18"/>
          <w:szCs w:val="18"/>
        </w:rPr>
        <w:t xml:space="preserve"> del ejercicio 20</w:t>
      </w:r>
      <w:r w:rsidR="001340E0">
        <w:rPr>
          <w:rFonts w:ascii="Arial" w:hAnsi="Arial" w:cs="Arial"/>
          <w:sz w:val="18"/>
          <w:szCs w:val="18"/>
        </w:rPr>
        <w:t>2</w:t>
      </w:r>
      <w:r w:rsidR="00FE4134">
        <w:rPr>
          <w:rFonts w:ascii="Arial" w:hAnsi="Arial" w:cs="Arial"/>
          <w:sz w:val="18"/>
          <w:szCs w:val="18"/>
        </w:rPr>
        <w:t>4</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FE4134">
        <w:rPr>
          <w:rFonts w:ascii="Arial" w:hAnsi="Arial" w:cs="Arial"/>
          <w:sz w:val="18"/>
          <w:szCs w:val="18"/>
        </w:rPr>
        <w:t>457</w:t>
      </w:r>
      <w:r w:rsidR="0098545B">
        <w:rPr>
          <w:rFonts w:ascii="Arial" w:hAnsi="Arial" w:cs="Arial"/>
          <w:sz w:val="18"/>
          <w:szCs w:val="18"/>
        </w:rPr>
        <w:t>,</w:t>
      </w:r>
      <w:r w:rsidR="00FE4134">
        <w:rPr>
          <w:rFonts w:ascii="Arial" w:hAnsi="Arial" w:cs="Arial"/>
          <w:sz w:val="18"/>
          <w:szCs w:val="18"/>
        </w:rPr>
        <w:t>869</w:t>
      </w:r>
      <w:r w:rsidR="0098545B">
        <w:rPr>
          <w:rFonts w:ascii="Arial" w:hAnsi="Arial" w:cs="Arial"/>
          <w:sz w:val="18"/>
          <w:szCs w:val="18"/>
        </w:rPr>
        <w:t>,</w:t>
      </w:r>
      <w:r w:rsidR="00FE4134">
        <w:rPr>
          <w:rFonts w:ascii="Arial" w:hAnsi="Arial" w:cs="Arial"/>
          <w:sz w:val="18"/>
          <w:szCs w:val="18"/>
        </w:rPr>
        <w:t>233</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62CAA42B"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FE4134">
        <w:rPr>
          <w:rFonts w:ascii="Arial" w:hAnsi="Arial" w:cs="Arial"/>
          <w:sz w:val="18"/>
          <w:szCs w:val="18"/>
        </w:rPr>
        <w:t>primer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E4134">
        <w:rPr>
          <w:rFonts w:ascii="Arial" w:hAnsi="Arial" w:cs="Arial"/>
          <w:sz w:val="18"/>
          <w:szCs w:val="18"/>
        </w:rPr>
        <w:t>4</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FE4134">
        <w:rPr>
          <w:rFonts w:ascii="Arial" w:hAnsi="Arial" w:cs="Arial"/>
          <w:sz w:val="18"/>
          <w:szCs w:val="18"/>
        </w:rPr>
        <w:t>marzo</w:t>
      </w:r>
      <w:r w:rsidR="00134F21">
        <w:rPr>
          <w:rFonts w:ascii="Arial" w:hAnsi="Arial" w:cs="Arial"/>
          <w:sz w:val="18"/>
          <w:szCs w:val="18"/>
        </w:rPr>
        <w:t xml:space="preserve"> por este concepto un monto de $</w:t>
      </w:r>
      <w:r w:rsidR="00FE4134">
        <w:rPr>
          <w:rFonts w:ascii="Arial" w:hAnsi="Arial" w:cs="Arial"/>
          <w:sz w:val="18"/>
          <w:szCs w:val="18"/>
        </w:rPr>
        <w:t>683</w:t>
      </w:r>
      <w:r w:rsidR="00134F21">
        <w:rPr>
          <w:rFonts w:ascii="Arial" w:hAnsi="Arial" w:cs="Arial"/>
          <w:sz w:val="18"/>
          <w:szCs w:val="18"/>
        </w:rPr>
        <w:t>,</w:t>
      </w:r>
      <w:r w:rsidR="00FE4134">
        <w:rPr>
          <w:rFonts w:ascii="Arial" w:hAnsi="Arial" w:cs="Arial"/>
          <w:sz w:val="18"/>
          <w:szCs w:val="18"/>
        </w:rPr>
        <w:t>587</w:t>
      </w:r>
      <w:r w:rsidR="00134F21">
        <w:rPr>
          <w:rFonts w:ascii="Arial" w:hAnsi="Arial" w:cs="Arial"/>
          <w:sz w:val="18"/>
          <w:szCs w:val="18"/>
        </w:rPr>
        <w:t>,</w:t>
      </w:r>
      <w:r w:rsidR="00FE4134">
        <w:rPr>
          <w:rFonts w:ascii="Arial" w:hAnsi="Arial" w:cs="Arial"/>
          <w:sz w:val="18"/>
          <w:szCs w:val="18"/>
        </w:rPr>
        <w:t>289</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FE4134">
        <w:rPr>
          <w:rFonts w:ascii="Arial" w:hAnsi="Arial" w:cs="Arial"/>
          <w:sz w:val="18"/>
          <w:szCs w:val="18"/>
        </w:rPr>
        <w:t>dec</w:t>
      </w:r>
      <w:r w:rsidR="007615D9">
        <w:rPr>
          <w:rFonts w:ascii="Arial" w:hAnsi="Arial" w:cs="Arial"/>
          <w:sz w:val="18"/>
          <w:szCs w:val="18"/>
        </w:rPr>
        <w:t xml:space="preserve">remento del </w:t>
      </w:r>
      <w:r w:rsidR="00935A49">
        <w:rPr>
          <w:rFonts w:ascii="Arial" w:hAnsi="Arial" w:cs="Arial"/>
          <w:sz w:val="18"/>
          <w:szCs w:val="18"/>
        </w:rPr>
        <w:t>3</w:t>
      </w:r>
      <w:r w:rsidR="007615D9">
        <w:rPr>
          <w:rFonts w:ascii="Arial" w:hAnsi="Arial" w:cs="Arial"/>
          <w:sz w:val="18"/>
          <w:szCs w:val="18"/>
        </w:rPr>
        <w:t xml:space="preserve">% respecto al </w:t>
      </w:r>
      <w:r w:rsidR="00935A49">
        <w:rPr>
          <w:rFonts w:ascii="Arial" w:hAnsi="Arial" w:cs="Arial"/>
          <w:sz w:val="18"/>
          <w:szCs w:val="18"/>
        </w:rPr>
        <w:t xml:space="preserve">mismo trimestre del </w:t>
      </w:r>
      <w:r w:rsidR="007615D9">
        <w:rPr>
          <w:rFonts w:ascii="Arial" w:hAnsi="Arial" w:cs="Arial"/>
          <w:sz w:val="18"/>
          <w:szCs w:val="18"/>
        </w:rPr>
        <w:t>ejercicio 202</w:t>
      </w:r>
      <w:r w:rsidR="00FE4134">
        <w:rPr>
          <w:rFonts w:ascii="Arial" w:hAnsi="Arial" w:cs="Arial"/>
          <w:sz w:val="18"/>
          <w:szCs w:val="18"/>
        </w:rPr>
        <w:t>3</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7E33949" w14:textId="33B572D4" w:rsidR="00935A49" w:rsidRDefault="00134F21" w:rsidP="00935A49">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355E3E">
        <w:rPr>
          <w:rFonts w:ascii="Arial" w:hAnsi="Arial" w:cs="Arial"/>
          <w:sz w:val="18"/>
          <w:szCs w:val="18"/>
        </w:rPr>
        <w:t>20</w:t>
      </w:r>
      <w:r>
        <w:rPr>
          <w:rFonts w:ascii="Arial" w:hAnsi="Arial" w:cs="Arial"/>
          <w:sz w:val="18"/>
          <w:szCs w:val="18"/>
        </w:rPr>
        <w:t>,</w:t>
      </w:r>
      <w:r w:rsidR="00355E3E">
        <w:rPr>
          <w:rFonts w:ascii="Arial" w:hAnsi="Arial" w:cs="Arial"/>
          <w:sz w:val="18"/>
          <w:szCs w:val="18"/>
        </w:rPr>
        <w:t>085</w:t>
      </w:r>
      <w:r>
        <w:rPr>
          <w:rFonts w:ascii="Arial" w:hAnsi="Arial" w:cs="Arial"/>
          <w:sz w:val="18"/>
          <w:szCs w:val="18"/>
        </w:rPr>
        <w:t>,</w:t>
      </w:r>
      <w:r w:rsidR="00355E3E">
        <w:rPr>
          <w:rFonts w:ascii="Arial" w:hAnsi="Arial" w:cs="Arial"/>
          <w:sz w:val="18"/>
          <w:szCs w:val="18"/>
        </w:rPr>
        <w:t>937</w:t>
      </w:r>
      <w:r w:rsidRPr="0073056A">
        <w:rPr>
          <w:rFonts w:ascii="Arial" w:hAnsi="Arial" w:cs="Arial"/>
          <w:sz w:val="18"/>
          <w:szCs w:val="18"/>
        </w:rPr>
        <w:t>.</w:t>
      </w:r>
      <w:r w:rsidR="00935A49">
        <w:rPr>
          <w:rFonts w:ascii="Arial" w:hAnsi="Arial" w:cs="Arial"/>
          <w:sz w:val="18"/>
          <w:szCs w:val="18"/>
        </w:rPr>
        <w:t xml:space="preserve"> Lo que representa un incremento del </w:t>
      </w:r>
      <w:r w:rsidR="00E660B4">
        <w:rPr>
          <w:rFonts w:ascii="Arial" w:hAnsi="Arial" w:cs="Arial"/>
          <w:sz w:val="18"/>
          <w:szCs w:val="18"/>
        </w:rPr>
        <w:t>1</w:t>
      </w:r>
      <w:r w:rsidR="00935A49">
        <w:rPr>
          <w:rFonts w:ascii="Arial" w:hAnsi="Arial" w:cs="Arial"/>
          <w:sz w:val="18"/>
          <w:szCs w:val="18"/>
        </w:rPr>
        <w:t>3% respecto al mismo trimestre del ejercicio 2023.</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00B40BD2"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355E3E">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355E3E">
        <w:rPr>
          <w:rFonts w:ascii="Arial" w:hAnsi="Arial" w:cs="Arial"/>
          <w:sz w:val="18"/>
          <w:szCs w:val="18"/>
        </w:rPr>
        <w:t>47</w:t>
      </w:r>
      <w:r w:rsidR="009E71C0">
        <w:rPr>
          <w:rFonts w:ascii="Arial" w:hAnsi="Arial" w:cs="Arial"/>
          <w:sz w:val="18"/>
          <w:szCs w:val="18"/>
        </w:rPr>
        <w:t>,</w:t>
      </w:r>
      <w:r w:rsidR="00355E3E">
        <w:rPr>
          <w:rFonts w:ascii="Arial" w:hAnsi="Arial" w:cs="Arial"/>
          <w:sz w:val="18"/>
          <w:szCs w:val="18"/>
        </w:rPr>
        <w:t>838</w:t>
      </w:r>
      <w:r w:rsidR="00BA3B1D">
        <w:rPr>
          <w:rFonts w:ascii="Arial" w:hAnsi="Arial" w:cs="Arial"/>
          <w:sz w:val="18"/>
          <w:szCs w:val="18"/>
        </w:rPr>
        <w:t>,</w:t>
      </w:r>
      <w:r w:rsidR="00355E3E">
        <w:rPr>
          <w:rFonts w:ascii="Arial" w:hAnsi="Arial" w:cs="Arial"/>
          <w:sz w:val="18"/>
          <w:szCs w:val="18"/>
        </w:rPr>
        <w:t>455</w:t>
      </w:r>
      <w:r w:rsidRPr="0073056A">
        <w:rPr>
          <w:rFonts w:ascii="Arial" w:hAnsi="Arial" w:cs="Arial"/>
          <w:sz w:val="18"/>
          <w:szCs w:val="18"/>
        </w:rPr>
        <w:t>.</w:t>
      </w:r>
      <w:r w:rsidR="007615D9">
        <w:rPr>
          <w:rFonts w:ascii="Arial" w:hAnsi="Arial" w:cs="Arial"/>
          <w:sz w:val="18"/>
          <w:szCs w:val="18"/>
        </w:rPr>
        <w:t xml:space="preserve"> Lo que representa un </w:t>
      </w:r>
      <w:r w:rsidR="00355E3E">
        <w:rPr>
          <w:rFonts w:ascii="Arial" w:hAnsi="Arial" w:cs="Arial"/>
          <w:sz w:val="18"/>
          <w:szCs w:val="18"/>
        </w:rPr>
        <w:t>de</w:t>
      </w:r>
      <w:r w:rsidR="007615D9">
        <w:rPr>
          <w:rFonts w:ascii="Arial" w:hAnsi="Arial" w:cs="Arial"/>
          <w:sz w:val="18"/>
          <w:szCs w:val="18"/>
        </w:rPr>
        <w:t xml:space="preserve">cremento del </w:t>
      </w:r>
      <w:r w:rsidR="00355E3E">
        <w:rPr>
          <w:rFonts w:ascii="Arial" w:hAnsi="Arial" w:cs="Arial"/>
          <w:sz w:val="18"/>
          <w:szCs w:val="18"/>
        </w:rPr>
        <w:t>1</w:t>
      </w:r>
      <w:r w:rsidR="00E660B4">
        <w:rPr>
          <w:rFonts w:ascii="Arial" w:hAnsi="Arial" w:cs="Arial"/>
          <w:sz w:val="18"/>
          <w:szCs w:val="18"/>
        </w:rPr>
        <w:t>4</w:t>
      </w:r>
      <w:r w:rsidR="007615D9">
        <w:rPr>
          <w:rFonts w:ascii="Arial" w:hAnsi="Arial" w:cs="Arial"/>
          <w:sz w:val="18"/>
          <w:szCs w:val="18"/>
        </w:rPr>
        <w:t xml:space="preserve">% respecto al </w:t>
      </w:r>
      <w:r w:rsidR="00E660B4">
        <w:rPr>
          <w:rFonts w:ascii="Arial" w:hAnsi="Arial" w:cs="Arial"/>
          <w:sz w:val="18"/>
          <w:szCs w:val="18"/>
        </w:rPr>
        <w:t xml:space="preserve">mismo periodo del </w:t>
      </w:r>
      <w:r w:rsidR="007615D9">
        <w:rPr>
          <w:rFonts w:ascii="Arial" w:hAnsi="Arial" w:cs="Arial"/>
          <w:sz w:val="18"/>
          <w:szCs w:val="18"/>
        </w:rPr>
        <w:t>ejercicio 202</w:t>
      </w:r>
      <w:r w:rsidR="00355E3E">
        <w:rPr>
          <w:rFonts w:ascii="Arial" w:hAnsi="Arial" w:cs="Arial"/>
          <w:sz w:val="18"/>
          <w:szCs w:val="18"/>
        </w:rPr>
        <w:t>3.</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764B149F" w14:textId="56770FA6" w:rsidR="00E660B4" w:rsidRPr="0073056A" w:rsidRDefault="00F40A84" w:rsidP="00E660B4">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355E3E">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observan un monto de $</w:t>
      </w:r>
      <w:r w:rsidR="00355E3E">
        <w:rPr>
          <w:rFonts w:ascii="Arial" w:hAnsi="Arial" w:cs="Arial"/>
          <w:sz w:val="18"/>
          <w:szCs w:val="18"/>
        </w:rPr>
        <w:t>2</w:t>
      </w:r>
      <w:r w:rsidR="001A78A4">
        <w:rPr>
          <w:rFonts w:ascii="Arial" w:hAnsi="Arial" w:cs="Arial"/>
          <w:sz w:val="18"/>
          <w:szCs w:val="18"/>
        </w:rPr>
        <w:t>,</w:t>
      </w:r>
      <w:r w:rsidR="00355E3E">
        <w:rPr>
          <w:rFonts w:ascii="Arial" w:hAnsi="Arial" w:cs="Arial"/>
          <w:sz w:val="18"/>
          <w:szCs w:val="18"/>
        </w:rPr>
        <w:t>385</w:t>
      </w:r>
      <w:r>
        <w:rPr>
          <w:rFonts w:ascii="Arial" w:hAnsi="Arial" w:cs="Arial"/>
          <w:sz w:val="18"/>
          <w:szCs w:val="18"/>
        </w:rPr>
        <w:t>,</w:t>
      </w:r>
      <w:r w:rsidR="00355E3E">
        <w:rPr>
          <w:rFonts w:ascii="Arial" w:hAnsi="Arial" w:cs="Arial"/>
          <w:sz w:val="18"/>
          <w:szCs w:val="18"/>
        </w:rPr>
        <w:t>490</w:t>
      </w:r>
      <w:r>
        <w:rPr>
          <w:rFonts w:ascii="Arial" w:hAnsi="Arial" w:cs="Arial"/>
          <w:sz w:val="18"/>
          <w:szCs w:val="18"/>
        </w:rPr>
        <w:t>,</w:t>
      </w:r>
      <w:r w:rsidR="00355E3E">
        <w:rPr>
          <w:rFonts w:ascii="Arial" w:hAnsi="Arial" w:cs="Arial"/>
          <w:sz w:val="18"/>
          <w:szCs w:val="18"/>
        </w:rPr>
        <w:t>583</w:t>
      </w:r>
      <w:r>
        <w:rPr>
          <w:rFonts w:ascii="Arial" w:hAnsi="Arial" w:cs="Arial"/>
          <w:sz w:val="18"/>
          <w:szCs w:val="18"/>
        </w:rPr>
        <w:t xml:space="preserve"> de los cuales los principales sectores que reciben estas asignaciones son el sector educativo al cual le corresponde el </w:t>
      </w:r>
      <w:r w:rsidR="00355E3E">
        <w:rPr>
          <w:rFonts w:ascii="Arial" w:hAnsi="Arial" w:cs="Arial"/>
          <w:sz w:val="18"/>
          <w:szCs w:val="18"/>
        </w:rPr>
        <w:t>34%</w:t>
      </w:r>
      <w:r>
        <w:rPr>
          <w:rFonts w:ascii="Arial" w:hAnsi="Arial" w:cs="Arial"/>
          <w:sz w:val="18"/>
          <w:szCs w:val="18"/>
        </w:rPr>
        <w:t xml:space="preserve"> y el sector salud con un </w:t>
      </w:r>
      <w:r w:rsidR="00155DFE">
        <w:rPr>
          <w:rFonts w:ascii="Arial" w:hAnsi="Arial" w:cs="Arial"/>
          <w:sz w:val="18"/>
          <w:szCs w:val="18"/>
        </w:rPr>
        <w:t>5</w:t>
      </w:r>
      <w:r w:rsidR="00355E3E">
        <w:rPr>
          <w:rFonts w:ascii="Arial" w:hAnsi="Arial" w:cs="Arial"/>
          <w:sz w:val="18"/>
          <w:szCs w:val="18"/>
        </w:rPr>
        <w:t>0</w:t>
      </w:r>
      <w:r>
        <w:rPr>
          <w:rFonts w:ascii="Arial" w:hAnsi="Arial" w:cs="Arial"/>
          <w:sz w:val="18"/>
          <w:szCs w:val="18"/>
        </w:rPr>
        <w:t>%</w:t>
      </w:r>
      <w:r w:rsidR="00155DFE">
        <w:rPr>
          <w:rFonts w:ascii="Arial" w:hAnsi="Arial" w:cs="Arial"/>
          <w:sz w:val="18"/>
          <w:szCs w:val="18"/>
        </w:rPr>
        <w:t>,</w:t>
      </w:r>
      <w:r>
        <w:rPr>
          <w:rFonts w:ascii="Arial" w:hAnsi="Arial" w:cs="Arial"/>
          <w:sz w:val="18"/>
          <w:szCs w:val="18"/>
        </w:rPr>
        <w:t xml:space="preserve"> el </w:t>
      </w:r>
      <w:r w:rsidR="00355E3E">
        <w:rPr>
          <w:rFonts w:ascii="Arial" w:hAnsi="Arial" w:cs="Arial"/>
          <w:sz w:val="18"/>
          <w:szCs w:val="18"/>
        </w:rPr>
        <w:t>13</w:t>
      </w:r>
      <w:r>
        <w:rPr>
          <w:rFonts w:ascii="Arial" w:hAnsi="Arial" w:cs="Arial"/>
          <w:sz w:val="18"/>
          <w:szCs w:val="18"/>
        </w:rPr>
        <w:t>% a otros organismos del sector público</w:t>
      </w:r>
      <w:r w:rsidR="00155DFE">
        <w:rPr>
          <w:rFonts w:ascii="Arial" w:hAnsi="Arial" w:cs="Arial"/>
          <w:sz w:val="18"/>
          <w:szCs w:val="18"/>
        </w:rPr>
        <w:t xml:space="preserve"> y el restante </w:t>
      </w:r>
      <w:r w:rsidR="00355E3E">
        <w:rPr>
          <w:rFonts w:ascii="Arial" w:hAnsi="Arial" w:cs="Arial"/>
          <w:sz w:val="18"/>
          <w:szCs w:val="18"/>
        </w:rPr>
        <w:t>3</w:t>
      </w:r>
      <w:r w:rsidR="00155DFE">
        <w:rPr>
          <w:rFonts w:ascii="Arial" w:hAnsi="Arial" w:cs="Arial"/>
          <w:sz w:val="18"/>
          <w:szCs w:val="18"/>
        </w:rPr>
        <w:t>% a subsidios y subvenciones</w:t>
      </w:r>
      <w:r w:rsidR="00FF6FFD">
        <w:rPr>
          <w:rFonts w:ascii="Arial" w:hAnsi="Arial" w:cs="Arial"/>
          <w:sz w:val="18"/>
          <w:szCs w:val="18"/>
        </w:rPr>
        <w:t>.</w:t>
      </w:r>
      <w:r w:rsidR="00E660B4">
        <w:rPr>
          <w:rFonts w:ascii="Arial" w:hAnsi="Arial" w:cs="Arial"/>
          <w:sz w:val="18"/>
          <w:szCs w:val="18"/>
        </w:rPr>
        <w:t xml:space="preserve"> Lo que en general representa un decremento del 18% respecto al mismo periodo del ejercicio 2023.</w:t>
      </w:r>
    </w:p>
    <w:p w14:paraId="1A282576" w14:textId="39632095" w:rsidR="00CB45AD" w:rsidRDefault="00CB45AD" w:rsidP="00CB45AD">
      <w:pPr>
        <w:tabs>
          <w:tab w:val="left" w:pos="284"/>
        </w:tabs>
        <w:spacing w:after="0"/>
        <w:ind w:left="284"/>
        <w:jc w:val="both"/>
        <w:rPr>
          <w:rFonts w:ascii="Arial" w:hAnsi="Arial" w:cs="Arial"/>
          <w:sz w:val="18"/>
          <w:szCs w:val="18"/>
        </w:rPr>
      </w:pP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lastRenderedPageBreak/>
        <w:t>Resultado del Ejercicio (Ahorro/Desahorro)</w:t>
      </w:r>
    </w:p>
    <w:p w14:paraId="5DC6EF16" w14:textId="3294A565"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355E3E">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355E3E">
        <w:rPr>
          <w:rFonts w:ascii="Arial" w:hAnsi="Arial" w:cs="Arial"/>
          <w:sz w:val="18"/>
          <w:szCs w:val="18"/>
        </w:rPr>
        <w:t>1</w:t>
      </w:r>
      <w:r w:rsidR="00303EA9">
        <w:rPr>
          <w:rFonts w:ascii="Arial" w:hAnsi="Arial" w:cs="Arial"/>
          <w:sz w:val="18"/>
          <w:szCs w:val="18"/>
        </w:rPr>
        <w:t>,</w:t>
      </w:r>
      <w:r w:rsidR="00155DFE">
        <w:rPr>
          <w:rFonts w:ascii="Arial" w:hAnsi="Arial" w:cs="Arial"/>
          <w:sz w:val="18"/>
          <w:szCs w:val="18"/>
        </w:rPr>
        <w:t>5</w:t>
      </w:r>
      <w:r w:rsidR="00355E3E">
        <w:rPr>
          <w:rFonts w:ascii="Arial" w:hAnsi="Arial" w:cs="Arial"/>
          <w:sz w:val="18"/>
          <w:szCs w:val="18"/>
        </w:rPr>
        <w:t>98</w:t>
      </w:r>
      <w:r>
        <w:rPr>
          <w:rFonts w:ascii="Arial" w:hAnsi="Arial" w:cs="Arial"/>
          <w:sz w:val="18"/>
          <w:szCs w:val="18"/>
        </w:rPr>
        <w:t>,</w:t>
      </w:r>
      <w:r w:rsidR="00355E3E">
        <w:rPr>
          <w:rFonts w:ascii="Arial" w:hAnsi="Arial" w:cs="Arial"/>
          <w:sz w:val="18"/>
          <w:szCs w:val="18"/>
        </w:rPr>
        <w:t>180</w:t>
      </w:r>
      <w:r>
        <w:rPr>
          <w:rFonts w:ascii="Arial" w:hAnsi="Arial" w:cs="Arial"/>
          <w:sz w:val="18"/>
          <w:szCs w:val="18"/>
        </w:rPr>
        <w:t>,</w:t>
      </w:r>
      <w:r w:rsidR="00355E3E">
        <w:rPr>
          <w:rFonts w:ascii="Arial" w:hAnsi="Arial" w:cs="Arial"/>
          <w:sz w:val="18"/>
          <w:szCs w:val="18"/>
        </w:rPr>
        <w:t>856</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355E3E">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155DFE">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355E3E">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E660B4">
        <w:rPr>
          <w:rFonts w:ascii="Arial" w:hAnsi="Arial" w:cs="Arial"/>
          <w:sz w:val="18"/>
          <w:szCs w:val="18"/>
        </w:rPr>
        <w:t>posit</w:t>
      </w:r>
      <w:r w:rsidR="00355E3E">
        <w:rPr>
          <w:rFonts w:ascii="Arial" w:hAnsi="Arial" w:cs="Arial"/>
          <w:sz w:val="18"/>
          <w:szCs w:val="18"/>
        </w:rPr>
        <w:t>i</w:t>
      </w:r>
      <w:r w:rsidR="008F164F">
        <w:rPr>
          <w:rFonts w:ascii="Arial" w:hAnsi="Arial" w:cs="Arial"/>
          <w:sz w:val="18"/>
          <w:szCs w:val="18"/>
        </w:rPr>
        <w:t>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A70B74">
        <w:rPr>
          <w:rFonts w:ascii="Arial" w:hAnsi="Arial" w:cs="Arial"/>
          <w:sz w:val="18"/>
          <w:szCs w:val="18"/>
        </w:rPr>
        <w:t xml:space="preserve">ejercicio </w:t>
      </w:r>
      <w:r w:rsidR="007615D9">
        <w:rPr>
          <w:rFonts w:ascii="Arial" w:hAnsi="Arial" w:cs="Arial"/>
          <w:sz w:val="18"/>
          <w:szCs w:val="18"/>
        </w:rPr>
        <w:t>202</w:t>
      </w:r>
      <w:r w:rsidR="00355E3E">
        <w:rPr>
          <w:rFonts w:ascii="Arial" w:hAnsi="Arial" w:cs="Arial"/>
          <w:sz w:val="18"/>
          <w:szCs w:val="18"/>
        </w:rPr>
        <w:t>3</w:t>
      </w:r>
      <w:r w:rsidR="00E660B4">
        <w:rPr>
          <w:rFonts w:ascii="Arial" w:hAnsi="Arial" w:cs="Arial"/>
          <w:sz w:val="18"/>
          <w:szCs w:val="18"/>
        </w:rPr>
        <w:t xml:space="preserve"> del 25% en el mismo periodo</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6D206C8F" w14:textId="00E66A5A" w:rsidR="00637C9C" w:rsidRPr="0073056A" w:rsidRDefault="00637C9C" w:rsidP="00637C9C">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0FF19746" w14:textId="77777777" w:rsidR="00637C9C" w:rsidRPr="0073056A" w:rsidRDefault="00637C9C" w:rsidP="00637C9C">
      <w:pPr>
        <w:pStyle w:val="Texto"/>
        <w:spacing w:after="0" w:line="276" w:lineRule="auto"/>
        <w:rPr>
          <w:b/>
          <w:szCs w:val="18"/>
          <w:lang w:val="es-MX"/>
        </w:rPr>
      </w:pPr>
    </w:p>
    <w:p w14:paraId="42450C81" w14:textId="77777777" w:rsidR="00637C9C" w:rsidRPr="0073056A" w:rsidRDefault="00637C9C" w:rsidP="00637C9C">
      <w:pPr>
        <w:pStyle w:val="Texto"/>
        <w:spacing w:after="0" w:line="276" w:lineRule="auto"/>
        <w:rPr>
          <w:b/>
          <w:szCs w:val="18"/>
          <w:lang w:val="es-MX"/>
        </w:rPr>
      </w:pPr>
      <w:r w:rsidRPr="0073056A">
        <w:rPr>
          <w:b/>
          <w:szCs w:val="18"/>
          <w:lang w:val="es-MX"/>
        </w:rPr>
        <w:t>Activo</w:t>
      </w:r>
    </w:p>
    <w:p w14:paraId="6DFD93EA"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34207D28" w14:textId="77777777" w:rsidR="00637C9C" w:rsidRPr="0073056A" w:rsidRDefault="00637C9C" w:rsidP="00637C9C">
      <w:pPr>
        <w:pStyle w:val="Texto"/>
        <w:spacing w:after="0" w:line="276" w:lineRule="auto"/>
        <w:ind w:firstLine="284"/>
        <w:rPr>
          <w:b/>
          <w:szCs w:val="18"/>
          <w:lang w:val="es-MX"/>
        </w:rPr>
      </w:pPr>
      <w:r w:rsidRPr="0073056A">
        <w:rPr>
          <w:b/>
          <w:szCs w:val="18"/>
          <w:lang w:val="es-MX"/>
        </w:rPr>
        <w:t>Efectivo y Equivalentes</w:t>
      </w:r>
    </w:p>
    <w:p w14:paraId="5D6E38D4" w14:textId="2F5BA9D6" w:rsidR="00637C9C" w:rsidRPr="0073056A" w:rsidRDefault="00637C9C" w:rsidP="00637C9C">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355E3E">
        <w:rPr>
          <w:rFonts w:ascii="Arial" w:hAnsi="Arial" w:cs="Arial"/>
          <w:sz w:val="18"/>
          <w:szCs w:val="18"/>
        </w:rPr>
        <w:t>3</w:t>
      </w:r>
      <w:r>
        <w:rPr>
          <w:rFonts w:ascii="Arial" w:hAnsi="Arial" w:cs="Arial"/>
          <w:sz w:val="18"/>
          <w:szCs w:val="18"/>
        </w:rPr>
        <w:t>,8</w:t>
      </w:r>
      <w:r w:rsidR="00355E3E">
        <w:rPr>
          <w:rFonts w:ascii="Arial" w:hAnsi="Arial" w:cs="Arial"/>
          <w:sz w:val="18"/>
          <w:szCs w:val="18"/>
        </w:rPr>
        <w:t>16</w:t>
      </w:r>
      <w:r>
        <w:rPr>
          <w:rFonts w:ascii="Arial" w:hAnsi="Arial" w:cs="Arial"/>
          <w:sz w:val="18"/>
          <w:szCs w:val="18"/>
        </w:rPr>
        <w:t>,</w:t>
      </w:r>
      <w:r w:rsidR="00355E3E">
        <w:rPr>
          <w:rFonts w:ascii="Arial" w:hAnsi="Arial" w:cs="Arial"/>
          <w:sz w:val="18"/>
          <w:szCs w:val="18"/>
        </w:rPr>
        <w:t>865</w:t>
      </w:r>
      <w:r>
        <w:rPr>
          <w:rFonts w:ascii="Arial" w:hAnsi="Arial" w:cs="Arial"/>
          <w:sz w:val="18"/>
          <w:szCs w:val="18"/>
        </w:rPr>
        <w:t>,</w:t>
      </w:r>
      <w:r w:rsidR="00355E3E">
        <w:rPr>
          <w:rFonts w:ascii="Arial" w:hAnsi="Arial" w:cs="Arial"/>
          <w:sz w:val="18"/>
          <w:szCs w:val="18"/>
        </w:rPr>
        <w:t>03</w:t>
      </w:r>
      <w:r>
        <w:rPr>
          <w:rFonts w:ascii="Arial" w:hAnsi="Arial" w:cs="Arial"/>
          <w:sz w:val="18"/>
          <w:szCs w:val="18"/>
        </w:rPr>
        <w:t>2</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355E3E">
        <w:rPr>
          <w:rFonts w:ascii="Arial" w:hAnsi="Arial" w:cs="Arial"/>
          <w:sz w:val="18"/>
          <w:szCs w:val="18"/>
        </w:rPr>
        <w:t>primer</w:t>
      </w:r>
      <w:r>
        <w:rPr>
          <w:rFonts w:ascii="Arial" w:hAnsi="Arial" w:cs="Arial"/>
          <w:sz w:val="18"/>
          <w:szCs w:val="18"/>
        </w:rPr>
        <w:t xml:space="preserve"> Ajuste Trimestral 202</w:t>
      </w:r>
      <w:r w:rsidR="00355E3E">
        <w:rPr>
          <w:rFonts w:ascii="Arial" w:hAnsi="Arial" w:cs="Arial"/>
          <w:sz w:val="18"/>
          <w:szCs w:val="18"/>
        </w:rPr>
        <w:t>4</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w:t>
      </w:r>
      <w:r w:rsidR="00121F18">
        <w:rPr>
          <w:rFonts w:ascii="Arial" w:hAnsi="Arial" w:cs="Arial"/>
          <w:sz w:val="18"/>
          <w:szCs w:val="18"/>
        </w:rPr>
        <w:t>1,311</w:t>
      </w:r>
      <w:r>
        <w:rPr>
          <w:rFonts w:ascii="Arial" w:hAnsi="Arial" w:cs="Arial"/>
          <w:sz w:val="18"/>
          <w:szCs w:val="18"/>
        </w:rPr>
        <w:t>,</w:t>
      </w:r>
      <w:r w:rsidR="00121F18">
        <w:rPr>
          <w:rFonts w:ascii="Arial" w:hAnsi="Arial" w:cs="Arial"/>
          <w:sz w:val="18"/>
          <w:szCs w:val="18"/>
        </w:rPr>
        <w:t>297</w:t>
      </w:r>
      <w:r>
        <w:rPr>
          <w:rFonts w:ascii="Arial" w:hAnsi="Arial" w:cs="Arial"/>
          <w:sz w:val="18"/>
          <w:szCs w:val="18"/>
        </w:rPr>
        <w:t>,</w:t>
      </w:r>
      <w:r w:rsidR="00121F18">
        <w:rPr>
          <w:rFonts w:ascii="Arial" w:hAnsi="Arial" w:cs="Arial"/>
          <w:sz w:val="18"/>
          <w:szCs w:val="18"/>
        </w:rPr>
        <w:t>977</w:t>
      </w:r>
      <w:r>
        <w:rPr>
          <w:rFonts w:ascii="Arial" w:hAnsi="Arial" w:cs="Arial"/>
          <w:sz w:val="18"/>
          <w:szCs w:val="18"/>
        </w:rPr>
        <w:t>, respecto al ejercicio de 202</w:t>
      </w:r>
      <w:r w:rsidR="00B143E2">
        <w:rPr>
          <w:rFonts w:ascii="Arial" w:hAnsi="Arial" w:cs="Arial"/>
          <w:sz w:val="18"/>
          <w:szCs w:val="18"/>
        </w:rPr>
        <w:t>3</w:t>
      </w:r>
      <w:r w:rsidR="00121F18">
        <w:rPr>
          <w:rFonts w:ascii="Arial" w:hAnsi="Arial" w:cs="Arial"/>
          <w:sz w:val="18"/>
          <w:szCs w:val="18"/>
        </w:rPr>
        <w:t xml:space="preserve"> en el mismo trimestre</w:t>
      </w:r>
      <w:r>
        <w:rPr>
          <w:rFonts w:ascii="Arial" w:hAnsi="Arial" w:cs="Arial"/>
          <w:sz w:val="18"/>
          <w:szCs w:val="18"/>
        </w:rPr>
        <w:t>.</w:t>
      </w:r>
    </w:p>
    <w:p w14:paraId="6886F9ED"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D2EDBEE" w14:textId="77777777" w:rsidR="00637C9C" w:rsidRPr="0073056A" w:rsidRDefault="00637C9C" w:rsidP="00637C9C">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29B80358" w14:textId="61837725"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3</w:t>
      </w:r>
      <w:r w:rsidR="00B143E2">
        <w:rPr>
          <w:rFonts w:ascii="Arial" w:hAnsi="Arial" w:cs="Arial"/>
          <w:sz w:val="18"/>
          <w:szCs w:val="18"/>
        </w:rPr>
        <w:t>8</w:t>
      </w:r>
      <w:r>
        <w:rPr>
          <w:rFonts w:ascii="Arial" w:hAnsi="Arial" w:cs="Arial"/>
          <w:sz w:val="18"/>
          <w:szCs w:val="18"/>
        </w:rPr>
        <w:t>,</w:t>
      </w:r>
      <w:r w:rsidR="00B143E2">
        <w:rPr>
          <w:rFonts w:ascii="Arial" w:hAnsi="Arial" w:cs="Arial"/>
          <w:sz w:val="18"/>
          <w:szCs w:val="18"/>
        </w:rPr>
        <w:t>176</w:t>
      </w:r>
      <w:r>
        <w:rPr>
          <w:rFonts w:ascii="Arial" w:hAnsi="Arial" w:cs="Arial"/>
          <w:sz w:val="18"/>
          <w:szCs w:val="18"/>
        </w:rPr>
        <w:t>,</w:t>
      </w:r>
      <w:r w:rsidR="00B143E2">
        <w:rPr>
          <w:rFonts w:ascii="Arial" w:hAnsi="Arial" w:cs="Arial"/>
          <w:sz w:val="18"/>
          <w:szCs w:val="18"/>
        </w:rPr>
        <w:t>070</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B143E2">
        <w:rPr>
          <w:rFonts w:ascii="Arial" w:hAnsi="Arial" w:cs="Arial"/>
          <w:sz w:val="18"/>
          <w:szCs w:val="18"/>
        </w:rPr>
        <w:t>primer</w:t>
      </w:r>
      <w:r w:rsidRPr="00F52C6D">
        <w:rPr>
          <w:rFonts w:ascii="Arial" w:hAnsi="Arial" w:cs="Arial"/>
          <w:sz w:val="18"/>
          <w:szCs w:val="18"/>
        </w:rPr>
        <w:t xml:space="preserve"> trimestre</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 xml:space="preserve">gresos por cobrar a corto plazo, siendo </w:t>
      </w:r>
      <w:r w:rsidR="00B143E2">
        <w:rPr>
          <w:rFonts w:ascii="Arial" w:hAnsi="Arial" w:cs="Arial"/>
          <w:sz w:val="18"/>
          <w:szCs w:val="18"/>
        </w:rPr>
        <w:t>mayor</w:t>
      </w:r>
      <w:r>
        <w:rPr>
          <w:rFonts w:ascii="Arial" w:hAnsi="Arial" w:cs="Arial"/>
          <w:sz w:val="18"/>
          <w:szCs w:val="18"/>
        </w:rPr>
        <w:t xml:space="preserve"> en $</w:t>
      </w:r>
      <w:r w:rsidR="00121F18">
        <w:rPr>
          <w:rFonts w:ascii="Arial" w:hAnsi="Arial" w:cs="Arial"/>
          <w:sz w:val="18"/>
          <w:szCs w:val="18"/>
        </w:rPr>
        <w:t>5</w:t>
      </w:r>
      <w:r>
        <w:rPr>
          <w:rFonts w:ascii="Arial" w:hAnsi="Arial" w:cs="Arial"/>
          <w:sz w:val="18"/>
          <w:szCs w:val="18"/>
        </w:rPr>
        <w:t>,</w:t>
      </w:r>
      <w:r w:rsidR="00121F18">
        <w:rPr>
          <w:rFonts w:ascii="Arial" w:hAnsi="Arial" w:cs="Arial"/>
          <w:sz w:val="18"/>
          <w:szCs w:val="18"/>
        </w:rPr>
        <w:t>381</w:t>
      </w:r>
      <w:r>
        <w:rPr>
          <w:rFonts w:ascii="Arial" w:hAnsi="Arial" w:cs="Arial"/>
          <w:sz w:val="18"/>
          <w:szCs w:val="18"/>
        </w:rPr>
        <w:t>,</w:t>
      </w:r>
      <w:r w:rsidR="00121F18">
        <w:rPr>
          <w:rFonts w:ascii="Arial" w:hAnsi="Arial" w:cs="Arial"/>
          <w:sz w:val="18"/>
          <w:szCs w:val="18"/>
        </w:rPr>
        <w:t>884</w:t>
      </w:r>
      <w:r>
        <w:rPr>
          <w:rFonts w:ascii="Arial" w:hAnsi="Arial" w:cs="Arial"/>
          <w:sz w:val="18"/>
          <w:szCs w:val="18"/>
        </w:rPr>
        <w:t xml:space="preserve"> respecto al </w:t>
      </w:r>
      <w:r w:rsidR="00121F18">
        <w:rPr>
          <w:rFonts w:ascii="Arial" w:hAnsi="Arial" w:cs="Arial"/>
          <w:sz w:val="18"/>
          <w:szCs w:val="18"/>
        </w:rPr>
        <w:t xml:space="preserve">mismo periodo del </w:t>
      </w:r>
      <w:r>
        <w:rPr>
          <w:rFonts w:ascii="Arial" w:hAnsi="Arial" w:cs="Arial"/>
          <w:sz w:val="18"/>
          <w:szCs w:val="18"/>
        </w:rPr>
        <w:t>ejercicio 202</w:t>
      </w:r>
      <w:r w:rsidR="00B143E2">
        <w:rPr>
          <w:rFonts w:ascii="Arial" w:hAnsi="Arial" w:cs="Arial"/>
          <w:sz w:val="18"/>
          <w:szCs w:val="18"/>
        </w:rPr>
        <w:t>3</w:t>
      </w:r>
      <w:r>
        <w:rPr>
          <w:rFonts w:ascii="Arial" w:hAnsi="Arial" w:cs="Arial"/>
          <w:sz w:val="18"/>
          <w:szCs w:val="18"/>
        </w:rPr>
        <w:t>.</w:t>
      </w:r>
    </w:p>
    <w:p w14:paraId="1364FE32" w14:textId="2D28569A" w:rsidR="00637C9C" w:rsidRDefault="00637C9C" w:rsidP="00637C9C">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w:t>
      </w:r>
      <w:r w:rsidR="00B143E2">
        <w:rPr>
          <w:rFonts w:ascii="Arial" w:hAnsi="Arial" w:cs="Arial"/>
          <w:sz w:val="18"/>
          <w:szCs w:val="18"/>
        </w:rPr>
        <w:t>primer</w:t>
      </w:r>
      <w:r>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$0.00 por derechos a recibir bienes o servicios</w:t>
      </w:r>
      <w:r w:rsidRPr="0073056A">
        <w:rPr>
          <w:rFonts w:ascii="Arial" w:hAnsi="Arial" w:cs="Arial"/>
          <w:sz w:val="18"/>
          <w:szCs w:val="18"/>
        </w:rPr>
        <w:t>.</w:t>
      </w:r>
    </w:p>
    <w:p w14:paraId="2478729F" w14:textId="77777777" w:rsidR="00637C9C" w:rsidRDefault="00637C9C" w:rsidP="00637C9C">
      <w:pPr>
        <w:pStyle w:val="ROMANOS"/>
        <w:tabs>
          <w:tab w:val="clear" w:pos="720"/>
          <w:tab w:val="left" w:pos="284"/>
        </w:tabs>
        <w:spacing w:after="0" w:line="276" w:lineRule="auto"/>
        <w:ind w:left="284" w:firstLine="0"/>
        <w:rPr>
          <w:b/>
          <w:lang w:val="es-MX"/>
        </w:rPr>
      </w:pPr>
    </w:p>
    <w:p w14:paraId="3BD208EA"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03ACD9F8" w14:textId="679209C0"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B143E2">
        <w:rPr>
          <w:rFonts w:ascii="Arial" w:hAnsi="Arial" w:cs="Arial"/>
          <w:sz w:val="18"/>
          <w:szCs w:val="18"/>
        </w:rPr>
        <w:t>primer</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no cuenta con Bienes Disponibles para su Transformación o Consumo (inventarios).</w:t>
      </w:r>
    </w:p>
    <w:p w14:paraId="1932B438" w14:textId="77777777" w:rsidR="00637C9C" w:rsidRPr="0073056A" w:rsidRDefault="00637C9C" w:rsidP="00637C9C">
      <w:pPr>
        <w:pStyle w:val="ROMANOS"/>
        <w:tabs>
          <w:tab w:val="clear" w:pos="720"/>
          <w:tab w:val="left" w:pos="851"/>
        </w:tabs>
        <w:spacing w:after="0" w:line="276" w:lineRule="auto"/>
        <w:ind w:left="284" w:firstLine="0"/>
        <w:rPr>
          <w:b/>
          <w:lang w:val="es-MX"/>
        </w:rPr>
      </w:pPr>
      <w:r w:rsidRPr="0073056A">
        <w:rPr>
          <w:b/>
          <w:lang w:val="es-MX"/>
        </w:rPr>
        <w:t>Inversiones Financieras</w:t>
      </w:r>
    </w:p>
    <w:p w14:paraId="493899DE" w14:textId="56A1EB6C"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B143E2">
        <w:rPr>
          <w:rFonts w:ascii="Arial" w:hAnsi="Arial" w:cs="Arial"/>
          <w:sz w:val="18"/>
          <w:szCs w:val="18"/>
        </w:rPr>
        <w:t>primer</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cuenta con Inversiones Financieras a Largo Plazo por un importe de $344,727,863, que respaldan los diversos fondos de reserva del Ejecutivo del Estado.</w:t>
      </w:r>
    </w:p>
    <w:p w14:paraId="1B73A51B"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3E91ACEA" w14:textId="6517998E"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cierre del </w:t>
      </w:r>
      <w:r w:rsidR="00B143E2">
        <w:rPr>
          <w:rFonts w:ascii="Arial" w:hAnsi="Arial" w:cs="Arial"/>
          <w:sz w:val="18"/>
          <w:szCs w:val="18"/>
        </w:rPr>
        <w:t>primer</w:t>
      </w:r>
      <w:r>
        <w:rPr>
          <w:rFonts w:ascii="Arial" w:hAnsi="Arial" w:cs="Arial"/>
          <w:sz w:val="18"/>
          <w:szCs w:val="18"/>
        </w:rPr>
        <w:t xml:space="preserve"> trimestre del ejercicio 202</w:t>
      </w:r>
      <w:r w:rsidR="00B143E2">
        <w:rPr>
          <w:rFonts w:ascii="Arial" w:hAnsi="Arial" w:cs="Arial"/>
          <w:sz w:val="18"/>
          <w:szCs w:val="18"/>
        </w:rPr>
        <w:t>4</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2,710,</w:t>
      </w:r>
      <w:r w:rsidR="00B143E2">
        <w:rPr>
          <w:rFonts w:ascii="Arial" w:hAnsi="Arial" w:cs="Arial"/>
          <w:sz w:val="18"/>
          <w:szCs w:val="18"/>
        </w:rPr>
        <w:t>994</w:t>
      </w:r>
      <w:r>
        <w:rPr>
          <w:rFonts w:ascii="Arial" w:hAnsi="Arial" w:cs="Arial"/>
          <w:sz w:val="18"/>
          <w:szCs w:val="18"/>
        </w:rPr>
        <w:t>,</w:t>
      </w:r>
      <w:r w:rsidR="00B143E2">
        <w:rPr>
          <w:rFonts w:ascii="Arial" w:hAnsi="Arial" w:cs="Arial"/>
          <w:sz w:val="18"/>
          <w:szCs w:val="18"/>
        </w:rPr>
        <w:t>559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xml:space="preserve">, así como colecciones, obras de arte y objetos valiosos, presentando un incremento del </w:t>
      </w:r>
      <w:r w:rsidR="00A50357">
        <w:rPr>
          <w:rFonts w:ascii="Arial" w:hAnsi="Arial" w:cs="Arial"/>
          <w:sz w:val="18"/>
          <w:szCs w:val="18"/>
        </w:rPr>
        <w:t>20</w:t>
      </w:r>
      <w:r>
        <w:rPr>
          <w:rFonts w:ascii="Arial" w:hAnsi="Arial" w:cs="Arial"/>
          <w:sz w:val="18"/>
          <w:szCs w:val="18"/>
        </w:rPr>
        <w:t xml:space="preserve">% respecto del </w:t>
      </w:r>
      <w:r w:rsidR="00A50357">
        <w:rPr>
          <w:rFonts w:ascii="Arial" w:hAnsi="Arial" w:cs="Arial"/>
          <w:sz w:val="18"/>
          <w:szCs w:val="18"/>
        </w:rPr>
        <w:t xml:space="preserve">mismo trimestre del </w:t>
      </w:r>
      <w:r>
        <w:rPr>
          <w:rFonts w:ascii="Arial" w:hAnsi="Arial" w:cs="Arial"/>
          <w:sz w:val="18"/>
          <w:szCs w:val="18"/>
        </w:rPr>
        <w:t>ejercicio 202</w:t>
      </w:r>
      <w:r w:rsidR="00B143E2">
        <w:rPr>
          <w:rFonts w:ascii="Arial" w:hAnsi="Arial" w:cs="Arial"/>
          <w:sz w:val="18"/>
          <w:szCs w:val="18"/>
        </w:rPr>
        <w:t>3</w:t>
      </w:r>
      <w:r w:rsidRPr="0073056A">
        <w:rPr>
          <w:rFonts w:ascii="Arial" w:hAnsi="Arial" w:cs="Arial"/>
          <w:sz w:val="18"/>
          <w:szCs w:val="18"/>
        </w:rPr>
        <w:t>.</w:t>
      </w:r>
    </w:p>
    <w:p w14:paraId="75A35802" w14:textId="294221CB" w:rsidR="00637C9C" w:rsidRDefault="00637C9C" w:rsidP="00637C9C">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B143E2">
        <w:rPr>
          <w:rFonts w:ascii="Arial" w:hAnsi="Arial" w:cs="Arial"/>
          <w:sz w:val="18"/>
          <w:szCs w:val="18"/>
        </w:rPr>
        <w:t>9</w:t>
      </w:r>
      <w:r w:rsidRPr="00F619D6">
        <w:rPr>
          <w:rFonts w:ascii="Arial" w:hAnsi="Arial" w:cs="Arial"/>
          <w:sz w:val="18"/>
          <w:szCs w:val="18"/>
        </w:rPr>
        <w:t>,</w:t>
      </w:r>
      <w:r w:rsidR="00B143E2">
        <w:rPr>
          <w:rFonts w:ascii="Arial" w:hAnsi="Arial" w:cs="Arial"/>
          <w:sz w:val="18"/>
          <w:szCs w:val="18"/>
        </w:rPr>
        <w:t>726</w:t>
      </w:r>
      <w:r w:rsidRPr="00F619D6">
        <w:rPr>
          <w:rFonts w:ascii="Arial" w:hAnsi="Arial" w:cs="Arial"/>
          <w:sz w:val="18"/>
          <w:szCs w:val="18"/>
        </w:rPr>
        <w:t>,</w:t>
      </w:r>
      <w:r w:rsidR="00B143E2">
        <w:rPr>
          <w:rFonts w:ascii="Arial" w:hAnsi="Arial" w:cs="Arial"/>
          <w:sz w:val="18"/>
          <w:szCs w:val="18"/>
        </w:rPr>
        <w:t>687</w:t>
      </w:r>
      <w:r w:rsidRPr="00F619D6">
        <w:rPr>
          <w:rFonts w:ascii="Arial" w:hAnsi="Arial" w:cs="Arial"/>
          <w:sz w:val="18"/>
          <w:szCs w:val="18"/>
        </w:rPr>
        <w:t>,</w:t>
      </w:r>
      <w:r>
        <w:rPr>
          <w:rFonts w:ascii="Arial" w:hAnsi="Arial" w:cs="Arial"/>
          <w:sz w:val="18"/>
          <w:szCs w:val="18"/>
        </w:rPr>
        <w:t>21</w:t>
      </w:r>
      <w:r w:rsidR="00B143E2">
        <w:rPr>
          <w:rFonts w:ascii="Arial" w:hAnsi="Arial" w:cs="Arial"/>
          <w:sz w:val="18"/>
          <w:szCs w:val="18"/>
        </w:rPr>
        <w:t>3</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reflejando un </w:t>
      </w:r>
      <w:r w:rsidR="00A50357">
        <w:rPr>
          <w:rFonts w:ascii="Arial" w:hAnsi="Arial" w:cs="Arial"/>
          <w:sz w:val="18"/>
          <w:szCs w:val="18"/>
        </w:rPr>
        <w:t>in</w:t>
      </w:r>
      <w:r>
        <w:rPr>
          <w:rFonts w:ascii="Arial" w:hAnsi="Arial" w:cs="Arial"/>
          <w:sz w:val="18"/>
          <w:szCs w:val="18"/>
        </w:rPr>
        <w:t xml:space="preserve">cremento </w:t>
      </w:r>
      <w:r w:rsidR="00A50357">
        <w:rPr>
          <w:rFonts w:ascii="Arial" w:hAnsi="Arial" w:cs="Arial"/>
          <w:sz w:val="18"/>
          <w:szCs w:val="18"/>
        </w:rPr>
        <w:t>de</w:t>
      </w:r>
      <w:r>
        <w:rPr>
          <w:rFonts w:ascii="Arial" w:hAnsi="Arial" w:cs="Arial"/>
          <w:sz w:val="18"/>
          <w:szCs w:val="18"/>
        </w:rPr>
        <w:t xml:space="preserve">l </w:t>
      </w:r>
      <w:r w:rsidR="00A50357">
        <w:rPr>
          <w:rFonts w:ascii="Arial" w:hAnsi="Arial" w:cs="Arial"/>
          <w:sz w:val="18"/>
          <w:szCs w:val="18"/>
        </w:rPr>
        <w:t>20</w:t>
      </w:r>
      <w:r>
        <w:rPr>
          <w:rFonts w:ascii="Arial" w:hAnsi="Arial" w:cs="Arial"/>
          <w:sz w:val="18"/>
          <w:szCs w:val="18"/>
        </w:rPr>
        <w:t xml:space="preserve">% respecto al </w:t>
      </w:r>
      <w:r w:rsidR="00A50357">
        <w:rPr>
          <w:rFonts w:ascii="Arial" w:hAnsi="Arial" w:cs="Arial"/>
          <w:sz w:val="18"/>
          <w:szCs w:val="18"/>
        </w:rPr>
        <w:t xml:space="preserve">mismo periodo del </w:t>
      </w:r>
      <w:r>
        <w:rPr>
          <w:rFonts w:ascii="Arial" w:hAnsi="Arial" w:cs="Arial"/>
          <w:sz w:val="18"/>
          <w:szCs w:val="18"/>
        </w:rPr>
        <w:t>ejercicio 202</w:t>
      </w:r>
      <w:r w:rsidR="00B143E2">
        <w:rPr>
          <w:rFonts w:ascii="Arial" w:hAnsi="Arial" w:cs="Arial"/>
          <w:sz w:val="18"/>
          <w:szCs w:val="18"/>
        </w:rPr>
        <w:t>3</w:t>
      </w:r>
      <w:r>
        <w:rPr>
          <w:rFonts w:ascii="Arial" w:hAnsi="Arial" w:cs="Arial"/>
          <w:sz w:val="18"/>
          <w:szCs w:val="18"/>
        </w:rPr>
        <w:t>.</w:t>
      </w:r>
    </w:p>
    <w:p w14:paraId="16743E1D" w14:textId="5311044D"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lastRenderedPageBreak/>
        <w:t>El saldo de $22</w:t>
      </w:r>
      <w:r w:rsidR="00B143E2">
        <w:rPr>
          <w:rFonts w:ascii="Arial" w:hAnsi="Arial" w:cs="Arial"/>
          <w:sz w:val="18"/>
          <w:szCs w:val="18"/>
        </w:rPr>
        <w:t>8</w:t>
      </w:r>
      <w:r>
        <w:rPr>
          <w:rFonts w:ascii="Arial" w:hAnsi="Arial" w:cs="Arial"/>
          <w:sz w:val="18"/>
          <w:szCs w:val="18"/>
        </w:rPr>
        <w:t>,7</w:t>
      </w:r>
      <w:r w:rsidR="00B143E2">
        <w:rPr>
          <w:rFonts w:ascii="Arial" w:hAnsi="Arial" w:cs="Arial"/>
          <w:sz w:val="18"/>
          <w:szCs w:val="18"/>
        </w:rPr>
        <w:t>61</w:t>
      </w:r>
      <w:r>
        <w:rPr>
          <w:rFonts w:ascii="Arial" w:hAnsi="Arial" w:cs="Arial"/>
          <w:sz w:val="18"/>
          <w:szCs w:val="18"/>
        </w:rPr>
        <w:t xml:space="preserve">,807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xml:space="preserve">, observándose una variación del </w:t>
      </w:r>
      <w:r w:rsidR="00A50357">
        <w:rPr>
          <w:rFonts w:ascii="Arial" w:hAnsi="Arial" w:cs="Arial"/>
          <w:sz w:val="18"/>
          <w:szCs w:val="18"/>
        </w:rPr>
        <w:t>20</w:t>
      </w:r>
      <w:r>
        <w:rPr>
          <w:rFonts w:ascii="Arial" w:hAnsi="Arial" w:cs="Arial"/>
          <w:sz w:val="18"/>
          <w:szCs w:val="18"/>
        </w:rPr>
        <w:t xml:space="preserve">% en relación al </w:t>
      </w:r>
      <w:r w:rsidR="00A50357">
        <w:rPr>
          <w:rFonts w:ascii="Arial" w:hAnsi="Arial" w:cs="Arial"/>
          <w:sz w:val="18"/>
          <w:szCs w:val="18"/>
        </w:rPr>
        <w:t xml:space="preserve">mismo trimestre del </w:t>
      </w:r>
      <w:r>
        <w:rPr>
          <w:rFonts w:ascii="Arial" w:hAnsi="Arial" w:cs="Arial"/>
          <w:sz w:val="18"/>
          <w:szCs w:val="18"/>
        </w:rPr>
        <w:t>ejercicio 202</w:t>
      </w:r>
      <w:r w:rsidR="00B143E2">
        <w:rPr>
          <w:rFonts w:ascii="Arial" w:hAnsi="Arial" w:cs="Arial"/>
          <w:sz w:val="18"/>
          <w:szCs w:val="18"/>
        </w:rPr>
        <w:t>3</w:t>
      </w:r>
      <w:r w:rsidRPr="00137E93">
        <w:rPr>
          <w:rFonts w:ascii="Arial" w:hAnsi="Arial" w:cs="Arial"/>
          <w:sz w:val="18"/>
          <w:szCs w:val="18"/>
        </w:rPr>
        <w:t>.</w:t>
      </w:r>
    </w:p>
    <w:p w14:paraId="1508C4DB" w14:textId="77777777" w:rsidR="00637C9C" w:rsidRDefault="00637C9C" w:rsidP="00637C9C">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0C74D570" w14:textId="77777777" w:rsidR="00637C9C" w:rsidRPr="00FB6E0E" w:rsidRDefault="00637C9C" w:rsidP="00637C9C">
      <w:pPr>
        <w:pStyle w:val="ROMANOS"/>
        <w:tabs>
          <w:tab w:val="clear" w:pos="720"/>
          <w:tab w:val="left" w:pos="284"/>
        </w:tabs>
        <w:spacing w:after="0" w:line="276" w:lineRule="auto"/>
        <w:ind w:left="284" w:firstLine="0"/>
        <w:rPr>
          <w:b/>
          <w:lang w:val="es-MX"/>
        </w:rPr>
      </w:pPr>
    </w:p>
    <w:p w14:paraId="792CCEEC" w14:textId="77777777" w:rsidR="00637C9C" w:rsidRPr="00FB6E0E" w:rsidRDefault="00637C9C" w:rsidP="00637C9C">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470B3E80" w14:textId="77777777" w:rsidR="00637C9C" w:rsidRDefault="00637C9C" w:rsidP="00637C9C">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15699DA1"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Otros Activos</w:t>
      </w:r>
    </w:p>
    <w:p w14:paraId="0FD0D6E6" w14:textId="71492D24"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mes de </w:t>
      </w:r>
      <w:r w:rsidR="00B143E2">
        <w:rPr>
          <w:rFonts w:ascii="Arial" w:hAnsi="Arial" w:cs="Arial"/>
          <w:sz w:val="18"/>
          <w:szCs w:val="18"/>
        </w:rPr>
        <w:t>marzo</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el Poder Ejecutivo no cuenta con Otros Activos.</w:t>
      </w:r>
    </w:p>
    <w:p w14:paraId="59D0EBE0"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Pasivo</w:t>
      </w:r>
    </w:p>
    <w:p w14:paraId="3EF5E4AA" w14:textId="77777777" w:rsidR="00637C9C" w:rsidRPr="0073056A" w:rsidRDefault="00637C9C" w:rsidP="00637C9C">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A5223FF" w14:textId="77777777" w:rsidR="00637C9C" w:rsidRPr="0073056A" w:rsidRDefault="00637C9C" w:rsidP="00637C9C">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3C3BF076" w14:textId="4B82A420" w:rsidR="00637C9C" w:rsidRDefault="00637C9C" w:rsidP="00637C9C">
      <w:pPr>
        <w:tabs>
          <w:tab w:val="left" w:pos="284"/>
        </w:tabs>
        <w:ind w:left="284"/>
        <w:jc w:val="both"/>
        <w:rPr>
          <w:rFonts w:ascii="Arial" w:hAnsi="Arial" w:cs="Arial"/>
          <w:sz w:val="18"/>
          <w:szCs w:val="18"/>
        </w:rPr>
      </w:pPr>
      <w:r>
        <w:rPr>
          <w:rFonts w:ascii="Arial" w:hAnsi="Arial" w:cs="Arial"/>
          <w:sz w:val="18"/>
          <w:szCs w:val="18"/>
        </w:rPr>
        <w:t>El saldo de $2,</w:t>
      </w:r>
      <w:r w:rsidR="00B143E2">
        <w:rPr>
          <w:rFonts w:ascii="Arial" w:hAnsi="Arial" w:cs="Arial"/>
          <w:sz w:val="18"/>
          <w:szCs w:val="18"/>
        </w:rPr>
        <w:t>131</w:t>
      </w:r>
      <w:r>
        <w:rPr>
          <w:rFonts w:ascii="Arial" w:hAnsi="Arial" w:cs="Arial"/>
          <w:sz w:val="18"/>
          <w:szCs w:val="18"/>
        </w:rPr>
        <w:t>,</w:t>
      </w:r>
      <w:r w:rsidR="00B143E2">
        <w:rPr>
          <w:rFonts w:ascii="Arial" w:hAnsi="Arial" w:cs="Arial"/>
          <w:sz w:val="18"/>
          <w:szCs w:val="18"/>
        </w:rPr>
        <w:t>999</w:t>
      </w:r>
      <w:r>
        <w:rPr>
          <w:rFonts w:ascii="Arial" w:hAnsi="Arial" w:cs="Arial"/>
          <w:sz w:val="18"/>
          <w:szCs w:val="18"/>
        </w:rPr>
        <w:t>,</w:t>
      </w:r>
      <w:r w:rsidR="00B143E2">
        <w:rPr>
          <w:rFonts w:ascii="Arial" w:hAnsi="Arial" w:cs="Arial"/>
          <w:sz w:val="18"/>
          <w:szCs w:val="18"/>
        </w:rPr>
        <w:t>436</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w:t>
      </w:r>
      <w:r w:rsidR="00A50357">
        <w:rPr>
          <w:rFonts w:ascii="Arial" w:hAnsi="Arial" w:cs="Arial"/>
          <w:sz w:val="18"/>
          <w:szCs w:val="18"/>
        </w:rPr>
        <w:t>in</w:t>
      </w:r>
      <w:r>
        <w:rPr>
          <w:rFonts w:ascii="Arial" w:hAnsi="Arial" w:cs="Arial"/>
          <w:sz w:val="18"/>
          <w:szCs w:val="18"/>
        </w:rPr>
        <w:t xml:space="preserve">cremento del </w:t>
      </w:r>
      <w:r w:rsidR="00A50357">
        <w:rPr>
          <w:rFonts w:ascii="Arial" w:hAnsi="Arial" w:cs="Arial"/>
          <w:sz w:val="18"/>
          <w:szCs w:val="18"/>
        </w:rPr>
        <w:t>79</w:t>
      </w:r>
      <w:r>
        <w:rPr>
          <w:rFonts w:ascii="Arial" w:hAnsi="Arial" w:cs="Arial"/>
          <w:sz w:val="18"/>
          <w:szCs w:val="18"/>
        </w:rPr>
        <w:t>% respecto del</w:t>
      </w:r>
      <w:r w:rsidR="00A50357">
        <w:rPr>
          <w:rFonts w:ascii="Arial" w:hAnsi="Arial" w:cs="Arial"/>
          <w:sz w:val="18"/>
          <w:szCs w:val="18"/>
        </w:rPr>
        <w:t xml:space="preserve"> mismo</w:t>
      </w:r>
      <w:r>
        <w:rPr>
          <w:rFonts w:ascii="Arial" w:hAnsi="Arial" w:cs="Arial"/>
          <w:sz w:val="18"/>
          <w:szCs w:val="18"/>
        </w:rPr>
        <w:t xml:space="preserve"> </w:t>
      </w:r>
      <w:r w:rsidR="00A50357">
        <w:rPr>
          <w:rFonts w:ascii="Arial" w:hAnsi="Arial" w:cs="Arial"/>
          <w:sz w:val="18"/>
          <w:szCs w:val="18"/>
        </w:rPr>
        <w:t xml:space="preserve">trimestre del </w:t>
      </w:r>
      <w:r>
        <w:rPr>
          <w:rFonts w:ascii="Arial" w:hAnsi="Arial" w:cs="Arial"/>
          <w:sz w:val="18"/>
          <w:szCs w:val="18"/>
        </w:rPr>
        <w:t>ejercicio 202</w:t>
      </w:r>
      <w:r w:rsidR="00815BB8">
        <w:rPr>
          <w:rFonts w:ascii="Arial" w:hAnsi="Arial" w:cs="Arial"/>
          <w:sz w:val="18"/>
          <w:szCs w:val="18"/>
        </w:rPr>
        <w:t>3</w:t>
      </w:r>
      <w:r>
        <w:rPr>
          <w:rFonts w:ascii="Arial" w:hAnsi="Arial" w:cs="Arial"/>
          <w:sz w:val="18"/>
          <w:szCs w:val="18"/>
        </w:rPr>
        <w:t>.</w:t>
      </w: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51774974"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815BB8">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15BB8">
        <w:rPr>
          <w:rFonts w:ascii="Arial" w:hAnsi="Arial" w:cs="Arial"/>
          <w:sz w:val="18"/>
          <w:szCs w:val="18"/>
        </w:rPr>
        <w:t>4</w:t>
      </w:r>
      <w:r>
        <w:rPr>
          <w:rFonts w:ascii="Arial" w:hAnsi="Arial" w:cs="Arial"/>
          <w:sz w:val="18"/>
          <w:szCs w:val="18"/>
        </w:rPr>
        <w:t xml:space="preserve"> </w:t>
      </w:r>
      <w:r w:rsidRPr="0073056A">
        <w:rPr>
          <w:rFonts w:ascii="Arial" w:hAnsi="Arial" w:cs="Arial"/>
          <w:sz w:val="18"/>
          <w:szCs w:val="18"/>
        </w:rPr>
        <w:t>es por la cantidad de $</w:t>
      </w:r>
      <w:r w:rsidR="00815BB8">
        <w:rPr>
          <w:rFonts w:ascii="Arial" w:hAnsi="Arial" w:cs="Arial"/>
          <w:sz w:val="18"/>
          <w:szCs w:val="18"/>
        </w:rPr>
        <w:t>1</w:t>
      </w:r>
      <w:r w:rsidR="008A4453">
        <w:rPr>
          <w:rFonts w:ascii="Arial" w:hAnsi="Arial" w:cs="Arial"/>
          <w:sz w:val="18"/>
          <w:szCs w:val="18"/>
        </w:rPr>
        <w:t>,</w:t>
      </w:r>
      <w:r w:rsidR="00815BB8">
        <w:rPr>
          <w:rFonts w:ascii="Arial" w:hAnsi="Arial" w:cs="Arial"/>
          <w:sz w:val="18"/>
          <w:szCs w:val="18"/>
        </w:rPr>
        <w:t>60</w:t>
      </w:r>
      <w:r w:rsidR="00A50357">
        <w:rPr>
          <w:rFonts w:ascii="Arial" w:hAnsi="Arial" w:cs="Arial"/>
          <w:sz w:val="18"/>
          <w:szCs w:val="18"/>
        </w:rPr>
        <w:t>1</w:t>
      </w:r>
      <w:r>
        <w:rPr>
          <w:rFonts w:ascii="Arial" w:eastAsia="Times New Roman" w:hAnsi="Arial" w:cs="Arial"/>
          <w:bCs/>
          <w:sz w:val="18"/>
          <w:szCs w:val="18"/>
          <w:lang w:eastAsia="es-MX"/>
        </w:rPr>
        <w:t>,</w:t>
      </w:r>
      <w:r w:rsidR="00A50357">
        <w:rPr>
          <w:rFonts w:ascii="Arial" w:eastAsia="Times New Roman" w:hAnsi="Arial" w:cs="Arial"/>
          <w:bCs/>
          <w:sz w:val="18"/>
          <w:szCs w:val="18"/>
          <w:lang w:eastAsia="es-MX"/>
        </w:rPr>
        <w:t>334</w:t>
      </w:r>
      <w:r>
        <w:rPr>
          <w:rFonts w:ascii="Arial" w:eastAsia="Times New Roman" w:hAnsi="Arial" w:cs="Arial"/>
          <w:bCs/>
          <w:sz w:val="18"/>
          <w:szCs w:val="18"/>
          <w:lang w:eastAsia="es-MX"/>
        </w:rPr>
        <w:t>,</w:t>
      </w:r>
      <w:r w:rsidR="00A50357">
        <w:rPr>
          <w:rFonts w:ascii="Arial" w:eastAsia="Times New Roman" w:hAnsi="Arial" w:cs="Arial"/>
          <w:bCs/>
          <w:sz w:val="18"/>
          <w:szCs w:val="18"/>
          <w:lang w:eastAsia="es-MX"/>
        </w:rPr>
        <w:t>287</w:t>
      </w:r>
      <w:r w:rsidR="007156AF">
        <w:rPr>
          <w:rFonts w:ascii="Arial" w:eastAsia="Times New Roman" w:hAnsi="Arial" w:cs="Arial"/>
          <w:bCs/>
          <w:sz w:val="18"/>
          <w:szCs w:val="18"/>
          <w:lang w:eastAsia="es-MX"/>
        </w:rPr>
        <w:t>.</w:t>
      </w:r>
    </w:p>
    <w:p w14:paraId="26152A80" w14:textId="7E0A1F38" w:rsidR="00762268" w:rsidRPr="00DD29C2" w:rsidRDefault="00762268" w:rsidP="00DD29C2">
      <w:pPr>
        <w:tabs>
          <w:tab w:val="left" w:pos="284"/>
        </w:tabs>
        <w:spacing w:after="0"/>
        <w:ind w:left="284"/>
        <w:jc w:val="both"/>
        <w:rPr>
          <w:rFonts w:ascii="Arial" w:hAnsi="Arial" w:cs="Arial"/>
          <w:b/>
          <w:sz w:val="18"/>
          <w:szCs w:val="18"/>
        </w:rPr>
      </w:pP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3EC46A08"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p>
    <w:p w14:paraId="1E7FC799" w14:textId="31084325"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A50357">
        <w:rPr>
          <w:lang w:val="es-MX"/>
        </w:rPr>
        <w:t>1,09</w:t>
      </w:r>
      <w:r w:rsidR="00815BB8">
        <w:rPr>
          <w:lang w:val="es-MX"/>
        </w:rPr>
        <w:t>9</w:t>
      </w:r>
      <w:r w:rsidR="00AC2CB6">
        <w:rPr>
          <w:lang w:val="es-MX"/>
        </w:rPr>
        <w:t>,</w:t>
      </w:r>
      <w:r w:rsidR="00815BB8">
        <w:rPr>
          <w:lang w:val="es-MX"/>
        </w:rPr>
        <w:t>1</w:t>
      </w:r>
      <w:r w:rsidR="00A50357">
        <w:rPr>
          <w:lang w:val="es-MX"/>
        </w:rPr>
        <w:t>65</w:t>
      </w:r>
      <w:r w:rsidR="00AC2CB6">
        <w:rPr>
          <w:lang w:val="es-MX"/>
        </w:rPr>
        <w:t>,</w:t>
      </w:r>
      <w:r w:rsidR="00815BB8">
        <w:rPr>
          <w:lang w:val="es-MX"/>
        </w:rPr>
        <w:t>2</w:t>
      </w:r>
      <w:r w:rsidR="00A50357">
        <w:rPr>
          <w:lang w:val="es-MX"/>
        </w:rPr>
        <w:t>85, respecto al primer trimestre de 2023;</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1AD930C9"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815BB8">
        <w:rPr>
          <w:lang w:val="es-MX"/>
        </w:rPr>
        <w:t>1</w:t>
      </w:r>
      <w:r w:rsidR="008F164F">
        <w:rPr>
          <w:lang w:val="es-MX"/>
        </w:rPr>
        <w:t>,</w:t>
      </w:r>
      <w:r w:rsidR="00611984">
        <w:rPr>
          <w:lang w:val="es-MX"/>
        </w:rPr>
        <w:t>5</w:t>
      </w:r>
      <w:r w:rsidR="00815BB8">
        <w:rPr>
          <w:lang w:val="es-MX"/>
        </w:rPr>
        <w:t>98</w:t>
      </w:r>
      <w:r w:rsidR="008F5C9C">
        <w:rPr>
          <w:lang w:val="es-MX"/>
        </w:rPr>
        <w:t>,</w:t>
      </w:r>
      <w:r w:rsidR="00815BB8">
        <w:rPr>
          <w:lang w:val="es-MX"/>
        </w:rPr>
        <w:t>180</w:t>
      </w:r>
      <w:r>
        <w:rPr>
          <w:lang w:val="es-MX"/>
        </w:rPr>
        <w:t>,</w:t>
      </w:r>
      <w:r w:rsidR="00815BB8">
        <w:rPr>
          <w:lang w:val="es-MX"/>
        </w:rPr>
        <w:t>856</w:t>
      </w:r>
      <w:r w:rsidR="00071E4C">
        <w:rPr>
          <w:lang w:val="es-MX"/>
        </w:rPr>
        <w:t>, reflejando un incremento del 25% respecto del mismo periodo de 2023</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4B62E44C"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815BB8">
        <w:rPr>
          <w:lang w:val="es-MX"/>
        </w:rPr>
        <w:t>marzo</w:t>
      </w:r>
      <w:r>
        <w:rPr>
          <w:lang w:val="es-MX"/>
        </w:rPr>
        <w:t xml:space="preserve"> </w:t>
      </w:r>
      <w:r w:rsidR="00071E4C">
        <w:rPr>
          <w:lang w:val="es-MX"/>
        </w:rPr>
        <w:t xml:space="preserve">de 2024, </w:t>
      </w:r>
      <w:r>
        <w:rPr>
          <w:lang w:val="es-MX"/>
        </w:rPr>
        <w:t xml:space="preserve">un importe de </w:t>
      </w:r>
      <w:r w:rsidRPr="004466A7">
        <w:rPr>
          <w:lang w:val="es-MX"/>
        </w:rPr>
        <w:t>$</w:t>
      </w:r>
      <w:r w:rsidR="00071E4C">
        <w:rPr>
          <w:lang w:val="es-MX"/>
        </w:rPr>
        <w:t>-2,205,199,229, reflejando un incremento negativo del 87% respecto del mismo periodo de 2023</w:t>
      </w:r>
      <w:r w:rsidR="00815BB8">
        <w:rPr>
          <w:lang w:val="es-MX"/>
        </w:rPr>
        <w:t>.</w:t>
      </w:r>
    </w:p>
    <w:p w14:paraId="3B4BFABA" w14:textId="77777777" w:rsidR="009B66AA" w:rsidRDefault="009B66AA"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lastRenderedPageBreak/>
        <w:t>Actividades de Financia</w:t>
      </w:r>
      <w:r w:rsidR="00054C4D">
        <w:rPr>
          <w:b/>
          <w:lang w:val="es-MX"/>
        </w:rPr>
        <w:t>miento</w:t>
      </w:r>
    </w:p>
    <w:p w14:paraId="68047E04" w14:textId="1B38C7E6"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611984">
        <w:rPr>
          <w:lang w:val="es-MX"/>
        </w:rPr>
        <w:t>1</w:t>
      </w:r>
      <w:r w:rsidRPr="00DA18AC">
        <w:rPr>
          <w:lang w:val="es-MX"/>
        </w:rPr>
        <w:t xml:space="preserve"> de </w:t>
      </w:r>
      <w:r w:rsidR="00815BB8">
        <w:rPr>
          <w:lang w:val="es-MX"/>
        </w:rPr>
        <w:t>marzo</w:t>
      </w:r>
      <w:r w:rsidRPr="00DA18AC">
        <w:rPr>
          <w:lang w:val="es-MX"/>
        </w:rPr>
        <w:t xml:space="preserve"> de 20</w:t>
      </w:r>
      <w:r w:rsidR="00466C1E">
        <w:rPr>
          <w:lang w:val="es-MX"/>
        </w:rPr>
        <w:t>2</w:t>
      </w:r>
      <w:r w:rsidR="00815BB8">
        <w:rPr>
          <w:lang w:val="es-MX"/>
        </w:rPr>
        <w:t>4</w:t>
      </w:r>
      <w:r w:rsidRPr="00DA18AC">
        <w:rPr>
          <w:lang w:val="es-MX"/>
        </w:rPr>
        <w:t xml:space="preserve"> de $</w:t>
      </w:r>
      <w:r w:rsidR="00071E4C">
        <w:rPr>
          <w:lang w:val="es-MX"/>
        </w:rPr>
        <w:t xml:space="preserve">1, </w:t>
      </w:r>
      <w:r w:rsidR="00815BB8">
        <w:rPr>
          <w:lang w:val="es-MX"/>
        </w:rPr>
        <w:t>9</w:t>
      </w:r>
      <w:r w:rsidR="00071E4C">
        <w:rPr>
          <w:lang w:val="es-MX"/>
        </w:rPr>
        <w:t>18</w:t>
      </w:r>
      <w:r w:rsidR="00A16DA6">
        <w:rPr>
          <w:lang w:val="es-MX"/>
        </w:rPr>
        <w:t>,</w:t>
      </w:r>
      <w:r w:rsidR="00815BB8">
        <w:rPr>
          <w:lang w:val="es-MX"/>
        </w:rPr>
        <w:t>3</w:t>
      </w:r>
      <w:r w:rsidR="00071E4C">
        <w:rPr>
          <w:lang w:val="es-MX"/>
        </w:rPr>
        <w:t>1</w:t>
      </w:r>
      <w:r w:rsidR="00815BB8">
        <w:rPr>
          <w:lang w:val="es-MX"/>
        </w:rPr>
        <w:t>6</w:t>
      </w:r>
      <w:r w:rsidR="00A16DA6">
        <w:rPr>
          <w:lang w:val="es-MX"/>
        </w:rPr>
        <w:t>,</w:t>
      </w:r>
      <w:r w:rsidR="00815BB8">
        <w:rPr>
          <w:lang w:val="es-MX"/>
        </w:rPr>
        <w:t>3</w:t>
      </w:r>
      <w:r w:rsidR="00071E4C">
        <w:rPr>
          <w:lang w:val="es-MX"/>
        </w:rPr>
        <w:t xml:space="preserve">50, </w:t>
      </w:r>
      <w:r w:rsidR="00071E4C">
        <w:t xml:space="preserve">presentando un incremento </w:t>
      </w:r>
      <w:r w:rsidR="007677CE">
        <w:t>mayor al 100</w:t>
      </w:r>
      <w:r w:rsidR="00071E4C">
        <w:t>% respecto del mismo trimestre del ejercicio 2023</w:t>
      </w:r>
      <w:r w:rsidR="007677CE">
        <w:t>.</w:t>
      </w:r>
    </w:p>
    <w:p w14:paraId="64B6AF4D" w14:textId="77777777" w:rsidR="00DD29C2" w:rsidRDefault="00DD29C2" w:rsidP="005F52B3">
      <w:pPr>
        <w:pStyle w:val="ROMANOS"/>
        <w:tabs>
          <w:tab w:val="clear" w:pos="720"/>
          <w:tab w:val="left" w:pos="284"/>
        </w:tabs>
        <w:spacing w:after="0" w:line="276" w:lineRule="auto"/>
        <w:ind w:left="284" w:firstLine="0"/>
        <w:rPr>
          <w:lang w:val="es-MX"/>
        </w:rPr>
      </w:pPr>
    </w:p>
    <w:p w14:paraId="08326B32" w14:textId="77777777" w:rsidR="009B66AA" w:rsidRDefault="009B66AA" w:rsidP="009B66AA">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638C7D2D" w14:textId="77777777" w:rsidR="009B66AA" w:rsidRDefault="009B66AA" w:rsidP="005F52B3">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9B66AA" w:rsidRPr="00450621" w14:paraId="3F5701C8"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F2E9225"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48A97114"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2763EBB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r>
      <w:tr w:rsidR="009B66AA" w:rsidRPr="00450621" w14:paraId="292369F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7EC2CE0"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0A825157"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c>
          <w:tcPr>
            <w:tcW w:w="1708" w:type="dxa"/>
            <w:tcBorders>
              <w:top w:val="single" w:sz="6" w:space="0" w:color="auto"/>
              <w:left w:val="single" w:sz="6" w:space="0" w:color="auto"/>
              <w:bottom w:val="single" w:sz="6" w:space="0" w:color="auto"/>
              <w:right w:val="single" w:sz="6" w:space="0" w:color="auto"/>
            </w:tcBorders>
          </w:tcPr>
          <w:p w14:paraId="4477206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2023</w:t>
            </w:r>
          </w:p>
        </w:tc>
      </w:tr>
      <w:tr w:rsidR="009B66AA" w:rsidRPr="00450621" w14:paraId="36539F84"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EA5BC77"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473C0BDA" w14:textId="60D5F978" w:rsidR="009B66AA" w:rsidRPr="00450621" w:rsidRDefault="0033784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831,815,803</w:t>
            </w:r>
          </w:p>
        </w:tc>
        <w:tc>
          <w:tcPr>
            <w:tcW w:w="1708" w:type="dxa"/>
            <w:tcBorders>
              <w:top w:val="single" w:sz="6" w:space="0" w:color="auto"/>
              <w:left w:val="single" w:sz="6" w:space="0" w:color="auto"/>
              <w:bottom w:val="single" w:sz="6" w:space="0" w:color="auto"/>
              <w:right w:val="single" w:sz="6" w:space="0" w:color="auto"/>
            </w:tcBorders>
          </w:tcPr>
          <w:p w14:paraId="659F963D" w14:textId="2DC7523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926,470,510</w:t>
            </w:r>
          </w:p>
        </w:tc>
      </w:tr>
      <w:tr w:rsidR="009B66AA" w:rsidRPr="00450621" w14:paraId="572F4F9A"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11B605F"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524CF90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6DFB27B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44798CC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D0DA2B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1F28CD55" w14:textId="67D8EF10" w:rsidR="009B66AA" w:rsidRPr="00450621" w:rsidRDefault="0033784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2,921,821,449</w:t>
            </w:r>
          </w:p>
        </w:tc>
        <w:tc>
          <w:tcPr>
            <w:tcW w:w="1708" w:type="dxa"/>
            <w:tcBorders>
              <w:top w:val="single" w:sz="6" w:space="0" w:color="auto"/>
              <w:left w:val="single" w:sz="6" w:space="0" w:color="auto"/>
              <w:bottom w:val="single" w:sz="6" w:space="0" w:color="auto"/>
              <w:right w:val="single" w:sz="6" w:space="0" w:color="auto"/>
            </w:tcBorders>
          </w:tcPr>
          <w:p w14:paraId="7B59F0D8" w14:textId="1523865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1,842,489,853</w:t>
            </w:r>
          </w:p>
        </w:tc>
      </w:tr>
      <w:tr w:rsidR="009B66AA" w:rsidRPr="00450621" w14:paraId="1C5C954E"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61B518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6113F66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55E063A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31B7877F"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26D88051"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5ABF78FE" w14:textId="7705E8F8" w:rsidR="009B66AA" w:rsidRPr="00450621" w:rsidRDefault="0033784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63,227,779</w:t>
            </w:r>
          </w:p>
        </w:tc>
        <w:tc>
          <w:tcPr>
            <w:tcW w:w="1708" w:type="dxa"/>
            <w:tcBorders>
              <w:top w:val="single" w:sz="6" w:space="0" w:color="auto"/>
              <w:left w:val="single" w:sz="6" w:space="0" w:color="auto"/>
              <w:bottom w:val="single" w:sz="6" w:space="0" w:color="auto"/>
              <w:right w:val="single" w:sz="6" w:space="0" w:color="auto"/>
            </w:tcBorders>
          </w:tcPr>
          <w:p w14:paraId="7E9192BE" w14:textId="2707D203"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128,760,449</w:t>
            </w:r>
          </w:p>
        </w:tc>
      </w:tr>
      <w:tr w:rsidR="009B66AA" w:rsidRPr="00450621" w14:paraId="7B02BB27"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68D5F25E"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72BFFB2E" w14:textId="5655D7A0" w:rsidR="009B66AA" w:rsidRPr="009B66AA" w:rsidRDefault="0033784D"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3,816,865,032</w:t>
            </w:r>
          </w:p>
        </w:tc>
        <w:tc>
          <w:tcPr>
            <w:tcW w:w="1708" w:type="dxa"/>
            <w:tcBorders>
              <w:top w:val="single" w:sz="6" w:space="0" w:color="auto"/>
              <w:left w:val="single" w:sz="6" w:space="0" w:color="auto"/>
              <w:bottom w:val="single" w:sz="6" w:space="0" w:color="auto"/>
              <w:right w:val="single" w:sz="6" w:space="0" w:color="auto"/>
            </w:tcBorders>
          </w:tcPr>
          <w:p w14:paraId="4A13F74A" w14:textId="4A94DFE3" w:rsidR="009B66AA" w:rsidRPr="009B66AA" w:rsidRDefault="00E90A09"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2,897,720,812</w:t>
            </w:r>
          </w:p>
        </w:tc>
      </w:tr>
    </w:tbl>
    <w:p w14:paraId="7CB1221F" w14:textId="77777777" w:rsidR="00802877" w:rsidRDefault="00802877" w:rsidP="00C50527">
      <w:pPr>
        <w:pStyle w:val="INCISO"/>
        <w:tabs>
          <w:tab w:val="left" w:pos="284"/>
        </w:tabs>
        <w:spacing w:after="0" w:line="276" w:lineRule="auto"/>
        <w:ind w:left="284" w:firstLine="0"/>
        <w:rPr>
          <w:b/>
          <w:smallCaps/>
        </w:rPr>
      </w:pPr>
    </w:p>
    <w:p w14:paraId="618F0802"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2. A</w:t>
      </w:r>
      <w:r w:rsidRPr="00DA460F">
        <w:rPr>
          <w:rFonts w:ascii="Arial" w:eastAsia="Times New Roman" w:hAnsi="Arial" w:cs="Arial"/>
          <w:sz w:val="18"/>
          <w:szCs w:val="18"/>
          <w:lang w:eastAsia="es-ES"/>
        </w:rPr>
        <w:t>dquisiciones de las Actividades de Inversión efectivamente pagadas, respecto del apartado de aplicación.</w:t>
      </w:r>
    </w:p>
    <w:p w14:paraId="4733184E" w14:textId="77777777" w:rsidR="009B66AA" w:rsidRDefault="009B66AA" w:rsidP="009B66AA">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5C2CE80B"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E38518A"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219CCF83"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17D186C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4E4B5F48"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41CEE715"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3983D8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1214EE4F"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4806F755"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5C6B53C7"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C931A1C"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725D6C8D"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051A48E6"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r>
      <w:tr w:rsidR="009B66AA" w:rsidRPr="00450621" w14:paraId="29A3B9E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79EA4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0C1DC91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DB73CC8" w14:textId="32BA354F"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1,050,000</w:t>
            </w:r>
          </w:p>
        </w:tc>
      </w:tr>
      <w:tr w:rsidR="009B66AA" w:rsidRPr="00450621" w14:paraId="684E06A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20508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37BF057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40A02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46B3D14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6173B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79A0AE15"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44358D6"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1D97A82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713C5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4225508A"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2C8FA41D"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6DAD95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1BB6A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683B7C4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4D1CD9C3" w14:textId="6E114A6D"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1,017,574,473</w:t>
            </w:r>
          </w:p>
        </w:tc>
      </w:tr>
      <w:tr w:rsidR="009B66AA" w:rsidRPr="00450621" w14:paraId="5707860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D1C89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2F08E96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3EDDB6D" w14:textId="2348DD01"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902,309,840</w:t>
            </w:r>
          </w:p>
        </w:tc>
      </w:tr>
      <w:tr w:rsidR="009B66AA" w:rsidRPr="00450621" w14:paraId="522C5B4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AD21B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4AF44B2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8F38B1B" w14:textId="3CE7F926"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E481B1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B6B62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1E766CE1" w14:textId="1DECF779" w:rsidR="009B66AA" w:rsidRPr="00FF5A7D" w:rsidRDefault="000D76D8" w:rsidP="009B66AA">
            <w:pPr>
              <w:spacing w:after="0" w:line="240" w:lineRule="auto"/>
              <w:jc w:val="right"/>
              <w:rPr>
                <w:rFonts w:ascii="Arial" w:eastAsia="Times New Roman" w:hAnsi="Arial" w:cs="Arial"/>
                <w:b/>
                <w:color w:val="000000"/>
                <w:sz w:val="14"/>
                <w:szCs w:val="14"/>
                <w:lang w:eastAsia="es-MX"/>
              </w:rPr>
            </w:pPr>
            <w:r w:rsidRPr="00FF5A7D">
              <w:rPr>
                <w:rFonts w:ascii="Arial" w:eastAsia="Times New Roman" w:hAnsi="Arial" w:cs="Arial"/>
                <w:b/>
                <w:color w:val="000000"/>
                <w:sz w:val="14"/>
                <w:szCs w:val="14"/>
                <w:lang w:eastAsia="es-MX"/>
              </w:rPr>
              <w:t>123,989</w:t>
            </w:r>
            <w:r w:rsidR="009B66AA" w:rsidRPr="00FF5A7D">
              <w:rPr>
                <w:rFonts w:ascii="Arial" w:eastAsia="Times New Roman" w:hAnsi="Arial" w:cs="Arial"/>
                <w:b/>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403BB97F" w14:textId="77777777" w:rsidR="009B66AA" w:rsidRPr="00FF5A7D" w:rsidRDefault="009B66AA" w:rsidP="009B66AA">
            <w:pPr>
              <w:spacing w:after="0" w:line="240" w:lineRule="auto"/>
              <w:jc w:val="right"/>
              <w:rPr>
                <w:rFonts w:ascii="Arial" w:eastAsia="Times New Roman" w:hAnsi="Arial" w:cs="Arial"/>
                <w:b/>
                <w:color w:val="000000"/>
                <w:sz w:val="14"/>
                <w:szCs w:val="14"/>
                <w:lang w:eastAsia="es-MX"/>
              </w:rPr>
            </w:pPr>
            <w:r w:rsidRPr="00FF5A7D">
              <w:rPr>
                <w:rFonts w:ascii="Arial" w:eastAsia="Times New Roman" w:hAnsi="Arial" w:cs="Arial"/>
                <w:b/>
                <w:color w:val="000000"/>
                <w:sz w:val="14"/>
                <w:szCs w:val="14"/>
                <w:lang w:eastAsia="es-MX"/>
              </w:rPr>
              <w:t>0</w:t>
            </w:r>
          </w:p>
        </w:tc>
      </w:tr>
      <w:tr w:rsidR="009B66AA" w:rsidRPr="00450621" w14:paraId="433BEC1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445F61"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3D0BE926" w14:textId="6A278780" w:rsidR="009B66AA" w:rsidRPr="00450621" w:rsidRDefault="000D76D8"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49,527</w:t>
            </w:r>
          </w:p>
        </w:tc>
        <w:tc>
          <w:tcPr>
            <w:tcW w:w="1267" w:type="dxa"/>
            <w:tcBorders>
              <w:top w:val="nil"/>
              <w:left w:val="nil"/>
              <w:bottom w:val="single" w:sz="4" w:space="0" w:color="000000"/>
              <w:right w:val="single" w:sz="4" w:space="0" w:color="000000"/>
            </w:tcBorders>
            <w:shd w:val="clear" w:color="000000" w:fill="FFFFFF"/>
          </w:tcPr>
          <w:p w14:paraId="0CFC39A3" w14:textId="12134530"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62,159,087</w:t>
            </w:r>
          </w:p>
        </w:tc>
      </w:tr>
      <w:tr w:rsidR="009B66AA" w:rsidRPr="00450621" w14:paraId="7BA3869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DD324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7CDFAF27" w14:textId="342C291E" w:rsidR="009B66AA" w:rsidRPr="00450621" w:rsidRDefault="00FF5A7D" w:rsidP="00FF5A7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66,462</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C4F5CB0" w14:textId="4818CD23"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4,004,405</w:t>
            </w:r>
          </w:p>
        </w:tc>
      </w:tr>
      <w:tr w:rsidR="009B66AA" w:rsidRPr="00450621" w14:paraId="4430917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6FCAC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1AC28EC2"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4EB5BE1" w14:textId="130A42B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108,201,327</w:t>
            </w:r>
          </w:p>
        </w:tc>
      </w:tr>
      <w:tr w:rsidR="009B66AA" w:rsidRPr="00450621" w14:paraId="5E39032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487990"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756C572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5858B588" w14:textId="659F3C99"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66,079,785</w:t>
            </w:r>
          </w:p>
        </w:tc>
      </w:tr>
      <w:tr w:rsidR="009B66AA" w:rsidRPr="00450621" w14:paraId="6B84FD1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3A42A9"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721C2B4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DB5337C" w14:textId="7F7F7A4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11,110,650</w:t>
            </w:r>
          </w:p>
        </w:tc>
      </w:tr>
      <w:tr w:rsidR="009B66AA" w:rsidRPr="00450621" w14:paraId="358CF93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EDCAB8"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2886E8C2" w14:textId="3D39B1B6"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7,999</w:t>
            </w:r>
          </w:p>
        </w:tc>
        <w:tc>
          <w:tcPr>
            <w:tcW w:w="1267" w:type="dxa"/>
            <w:tcBorders>
              <w:top w:val="nil"/>
              <w:left w:val="nil"/>
              <w:bottom w:val="single" w:sz="4" w:space="0" w:color="000000"/>
              <w:right w:val="single" w:sz="4" w:space="0" w:color="000000"/>
            </w:tcBorders>
            <w:shd w:val="clear" w:color="000000" w:fill="FFFFFF"/>
          </w:tcPr>
          <w:p w14:paraId="5A9C343D" w14:textId="00B1CB32"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202,039,916</w:t>
            </w:r>
          </w:p>
        </w:tc>
      </w:tr>
      <w:tr w:rsidR="009B66AA" w:rsidRPr="00450621" w14:paraId="4E0E7CF5"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42039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0B9038FC"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E6C48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5396EA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DC9DE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56A21A5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3D8F4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B4B280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570A36" w14:textId="77777777" w:rsidR="009B66AA" w:rsidRPr="00083788" w:rsidRDefault="009B66AA" w:rsidP="009B66AA">
            <w:pPr>
              <w:spacing w:after="0" w:line="240" w:lineRule="auto"/>
              <w:rPr>
                <w:rFonts w:ascii="Arial" w:eastAsia="Times New Roman" w:hAnsi="Arial" w:cs="Arial"/>
                <w:b/>
                <w:color w:val="000000"/>
                <w:sz w:val="14"/>
                <w:szCs w:val="14"/>
                <w:lang w:eastAsia="es-MX"/>
              </w:rPr>
            </w:pPr>
            <w:r w:rsidRPr="00083788">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012F71AB"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4285B81" w14:textId="20121C8D"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125,275,413</w:t>
            </w:r>
          </w:p>
        </w:tc>
      </w:tr>
      <w:tr w:rsidR="009B66AA" w:rsidRPr="00450621" w14:paraId="532DAEF9"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D4C44F1"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31FD9510" w14:textId="27FF69F9" w:rsidR="009B66AA" w:rsidRPr="00450621" w:rsidRDefault="00FF5A7D"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123,989</w:t>
            </w:r>
          </w:p>
        </w:tc>
        <w:tc>
          <w:tcPr>
            <w:tcW w:w="1267" w:type="dxa"/>
            <w:tcBorders>
              <w:top w:val="nil"/>
              <w:left w:val="nil"/>
              <w:bottom w:val="single" w:sz="4" w:space="0" w:color="000000"/>
              <w:right w:val="single" w:sz="4" w:space="0" w:color="000000"/>
            </w:tcBorders>
            <w:shd w:val="clear" w:color="000000" w:fill="D3D3D3"/>
          </w:tcPr>
          <w:p w14:paraId="083443D6" w14:textId="77777777" w:rsidR="00AA35F1" w:rsidRDefault="00AA35F1" w:rsidP="009B66AA">
            <w:pPr>
              <w:spacing w:after="0" w:line="240" w:lineRule="auto"/>
              <w:jc w:val="right"/>
              <w:rPr>
                <w:rFonts w:ascii="Arial" w:eastAsia="Times New Roman" w:hAnsi="Arial" w:cs="Arial"/>
                <w:b/>
                <w:bCs/>
                <w:color w:val="000000"/>
                <w:sz w:val="16"/>
                <w:szCs w:val="16"/>
                <w:lang w:eastAsia="es-MX"/>
              </w:rPr>
            </w:pPr>
          </w:p>
          <w:p w14:paraId="684C5389" w14:textId="602F0DE0" w:rsidR="009B66AA" w:rsidRDefault="00AA35F1"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2,499,804,896</w:t>
            </w:r>
          </w:p>
        </w:tc>
      </w:tr>
    </w:tbl>
    <w:p w14:paraId="42FCF9C6" w14:textId="7F5B9157" w:rsidR="00802877" w:rsidRDefault="00802877" w:rsidP="00C50527">
      <w:pPr>
        <w:pStyle w:val="INCISO"/>
        <w:tabs>
          <w:tab w:val="left" w:pos="284"/>
        </w:tabs>
        <w:spacing w:after="0" w:line="276" w:lineRule="auto"/>
        <w:ind w:left="284" w:firstLine="0"/>
        <w:rPr>
          <w:b/>
          <w:smallCaps/>
        </w:rPr>
      </w:pPr>
    </w:p>
    <w:p w14:paraId="65F36237"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3. </w:t>
      </w:r>
      <w:r w:rsidRPr="00083788">
        <w:rPr>
          <w:rFonts w:ascii="Arial" w:eastAsia="Times New Roman" w:hAnsi="Arial" w:cs="Arial"/>
          <w:sz w:val="18"/>
          <w:szCs w:val="18"/>
          <w:lang w:eastAsia="es-ES"/>
        </w:rPr>
        <w:t>Conciliación de los Flujos de Efectivo Netos de las Actividades de Operación y los saldos de Resultados d</w:t>
      </w:r>
      <w:r>
        <w:rPr>
          <w:rFonts w:ascii="Arial" w:eastAsia="Times New Roman" w:hAnsi="Arial" w:cs="Arial"/>
          <w:sz w:val="18"/>
          <w:szCs w:val="18"/>
          <w:lang w:eastAsia="es-ES"/>
        </w:rPr>
        <w:t>el Ejercicio (Ahorro/Desahorro).</w:t>
      </w:r>
    </w:p>
    <w:p w14:paraId="36AD7081" w14:textId="77777777" w:rsidR="009B66AA" w:rsidRDefault="009B66AA" w:rsidP="009B66AA">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17ACD8C5"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6C1E00D"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46BD2EBC"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62B6BE3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20AB26CA"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5D04B04B"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17EC05F7"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503BE1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54AD8A9A" w14:textId="11ED1B45"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47D85714"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0FBDBFD"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39335320" w14:textId="60DF41BC" w:rsidR="009B66AA" w:rsidRPr="00450621"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1,598,180,856</w:t>
            </w:r>
          </w:p>
        </w:tc>
        <w:tc>
          <w:tcPr>
            <w:tcW w:w="1267" w:type="dxa"/>
            <w:tcBorders>
              <w:top w:val="nil"/>
              <w:left w:val="nil"/>
              <w:bottom w:val="single" w:sz="4" w:space="0" w:color="000000"/>
              <w:right w:val="single" w:sz="4" w:space="0" w:color="000000"/>
            </w:tcBorders>
            <w:shd w:val="clear" w:color="000000" w:fill="FFFFFF"/>
          </w:tcPr>
          <w:p w14:paraId="0108C0C8" w14:textId="258609B7"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r w:rsidR="009B66AA" w:rsidRPr="00450621" w14:paraId="424F270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916A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52AA5DC2"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CDBAB7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F6203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9986D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29D7E37E"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5A3F218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1BAB85B0"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3DE412"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1C637270"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E29FBBE"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6CC426F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3466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5B47C4D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6B566741"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AFBA66"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16CEFB"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lastRenderedPageBreak/>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520F4E85"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0442E4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07A3711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8EB0C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7F206DF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A27E5B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2DDB372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359B1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378C0C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2D91A86"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4933A98"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4DDFE760"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21BC32A8" w14:textId="66CCEB7B" w:rsidR="009B66AA" w:rsidRPr="00450621"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1,1598,180,856</w:t>
            </w:r>
          </w:p>
        </w:tc>
        <w:tc>
          <w:tcPr>
            <w:tcW w:w="1267" w:type="dxa"/>
            <w:tcBorders>
              <w:top w:val="nil"/>
              <w:left w:val="nil"/>
              <w:bottom w:val="single" w:sz="4" w:space="0" w:color="000000"/>
              <w:right w:val="single" w:sz="4" w:space="0" w:color="000000"/>
            </w:tcBorders>
            <w:shd w:val="clear" w:color="000000" w:fill="D3D3D3"/>
          </w:tcPr>
          <w:p w14:paraId="4BF01645" w14:textId="7ABD7E80"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bl>
    <w:p w14:paraId="455BDEE0"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093F386E" w14:textId="77777777" w:rsidR="006942ED" w:rsidRPr="00DD29C2" w:rsidRDefault="00000000" w:rsidP="00DD29C2">
      <w:pPr>
        <w:pStyle w:val="INCISO"/>
        <w:tabs>
          <w:tab w:val="left" w:pos="284"/>
        </w:tabs>
        <w:spacing w:after="0" w:line="276" w:lineRule="auto"/>
        <w:ind w:left="284" w:firstLine="0"/>
        <w:rPr>
          <w:b/>
          <w:smallCaps/>
        </w:rPr>
      </w:pPr>
      <w:r>
        <w:rPr>
          <w:b/>
          <w:smallCaps/>
        </w:rPr>
        <w:object w:dxaOrig="1440" w:dyaOrig="1440" w14:anchorId="7CF3A5A1">
          <v:shape id="_x0000_s2070" type="#_x0000_t75" style="position:absolute;left:0;text-align:left;margin-left:-24.75pt;margin-top:24.1pt;width:557.5pt;height:491.55pt;z-index:251659264">
            <v:imagedata r:id="rId28" o:title=""/>
            <w10:wrap type="topAndBottom"/>
          </v:shape>
          <o:OLEObject Type="Embed" ProgID="Excel.Sheet.12" ShapeID="_x0000_s2070" DrawAspect="Content" ObjectID="_1775468052" r:id="rId29"/>
        </w:object>
      </w:r>
    </w:p>
    <w:p w14:paraId="02BAADB2" w14:textId="77777777" w:rsidR="002A62AF" w:rsidRDefault="002A62AF" w:rsidP="006942ED">
      <w:pPr>
        <w:ind w:firstLine="708"/>
        <w:rPr>
          <w:lang w:eastAsia="es-ES"/>
        </w:rPr>
      </w:pPr>
    </w:p>
    <w:p w14:paraId="4EA645CD" w14:textId="77777777" w:rsidR="002C55F6" w:rsidRDefault="00000000" w:rsidP="006942ED">
      <w:pPr>
        <w:ind w:firstLine="708"/>
        <w:rPr>
          <w:lang w:eastAsia="es-ES"/>
        </w:rPr>
      </w:pPr>
      <w:r>
        <w:rPr>
          <w:b/>
          <w:smallCaps/>
          <w:noProof/>
          <w:szCs w:val="18"/>
          <w:lang w:eastAsia="es-MX"/>
        </w:rPr>
        <w:lastRenderedPageBreak/>
        <w:object w:dxaOrig="1440" w:dyaOrig="1440" w14:anchorId="2A260062">
          <v:shape id="_x0000_s2071" type="#_x0000_t75" style="position:absolute;left:0;text-align:left;margin-left:-45.6pt;margin-top:9.7pt;width:560.45pt;height:625.9pt;z-index:251660288">
            <v:imagedata r:id="rId30" o:title=""/>
            <w10:wrap type="topAndBottom"/>
          </v:shape>
          <o:OLEObject Type="Embed" ProgID="Excel.Sheet.12" ShapeID="_x0000_s2071" DrawAspect="Content" ObjectID="_1775468053" r:id="rId31"/>
        </w:object>
      </w:r>
    </w:p>
    <w:p w14:paraId="358FE3DE" w14:textId="6AC60C8D" w:rsidR="002A62AF" w:rsidRDefault="002A62AF" w:rsidP="005F52B3">
      <w:pPr>
        <w:pStyle w:val="Texto"/>
        <w:tabs>
          <w:tab w:val="left" w:pos="284"/>
        </w:tabs>
        <w:spacing w:after="0" w:line="276" w:lineRule="auto"/>
        <w:ind w:left="284" w:firstLine="0"/>
        <w:jc w:val="center"/>
        <w:rPr>
          <w:b/>
          <w:szCs w:val="18"/>
        </w:rPr>
      </w:pPr>
    </w:p>
    <w:p w14:paraId="045AB7AA" w14:textId="77777777" w:rsidR="00DD29C2" w:rsidRDefault="00DD29C2"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DD29C2" w:rsidRDefault="005F52B3" w:rsidP="00DD29C2">
      <w:pPr>
        <w:pStyle w:val="Texto"/>
        <w:tabs>
          <w:tab w:val="left" w:pos="284"/>
        </w:tabs>
        <w:spacing w:after="0" w:line="276" w:lineRule="auto"/>
        <w:ind w:left="284" w:firstLine="0"/>
        <w:rPr>
          <w:szCs w:val="18"/>
          <w:lang w:val="es-MX"/>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3D12DF0A"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013AA1">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013AA1">
        <w:rPr>
          <w:rFonts w:ascii="Arial" w:hAnsi="Arial" w:cs="Arial"/>
          <w:sz w:val="18"/>
          <w:szCs w:val="18"/>
        </w:rPr>
        <w:t>4</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DD29C2" w:rsidRDefault="003D0221" w:rsidP="00DD29C2">
      <w:pPr>
        <w:pStyle w:val="Texto"/>
        <w:tabs>
          <w:tab w:val="left" w:pos="284"/>
        </w:tabs>
        <w:spacing w:after="0" w:line="276" w:lineRule="auto"/>
        <w:ind w:left="284" w:firstLine="0"/>
        <w:rPr>
          <w:szCs w:val="18"/>
          <w:lang w:val="es-MX"/>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0F354394" w14:textId="77777777" w:rsidR="00420656" w:rsidRDefault="00420656" w:rsidP="00420656">
      <w:pPr>
        <w:spacing w:after="0"/>
        <w:jc w:val="center"/>
        <w:rPr>
          <w:rFonts w:ascii="Arial" w:hAnsi="Arial" w:cs="Arial"/>
          <w:sz w:val="18"/>
          <w:szCs w:val="18"/>
        </w:rPr>
      </w:pPr>
    </w:p>
    <w:p w14:paraId="08F79F7F" w14:textId="77777777" w:rsidR="00420656" w:rsidRDefault="00420656" w:rsidP="00420656">
      <w:pPr>
        <w:spacing w:after="0"/>
        <w:jc w:val="center"/>
        <w:rPr>
          <w:rFonts w:ascii="Arial" w:hAnsi="Arial" w:cs="Arial"/>
          <w:sz w:val="18"/>
          <w:szCs w:val="18"/>
        </w:rPr>
      </w:pPr>
    </w:p>
    <w:p w14:paraId="059E042C" w14:textId="77777777" w:rsidR="00420656" w:rsidRDefault="00420656" w:rsidP="00420656">
      <w:pPr>
        <w:spacing w:after="0"/>
        <w:jc w:val="center"/>
        <w:rPr>
          <w:rFonts w:ascii="Arial" w:hAnsi="Arial" w:cs="Arial"/>
          <w:sz w:val="18"/>
          <w:szCs w:val="18"/>
        </w:rPr>
      </w:pPr>
    </w:p>
    <w:p w14:paraId="09CF0282" w14:textId="77777777" w:rsidR="00420656" w:rsidRDefault="00420656" w:rsidP="00420656">
      <w:pPr>
        <w:spacing w:after="0"/>
        <w:jc w:val="center"/>
        <w:rPr>
          <w:rFonts w:ascii="Arial" w:hAnsi="Arial" w:cs="Arial"/>
          <w:sz w:val="18"/>
          <w:szCs w:val="18"/>
        </w:rPr>
      </w:pPr>
    </w:p>
    <w:p w14:paraId="2B19A75A" w14:textId="77777777" w:rsidR="00420656" w:rsidRDefault="00420656" w:rsidP="00420656">
      <w:pPr>
        <w:spacing w:after="0"/>
        <w:jc w:val="center"/>
        <w:rPr>
          <w:rFonts w:ascii="Arial" w:hAnsi="Arial" w:cs="Arial"/>
          <w:sz w:val="18"/>
          <w:szCs w:val="18"/>
        </w:rPr>
      </w:pPr>
    </w:p>
    <w:p w14:paraId="67FBE95D" w14:textId="77777777" w:rsidR="00420656" w:rsidRDefault="00420656" w:rsidP="00420656">
      <w:pPr>
        <w:spacing w:after="0"/>
        <w:jc w:val="center"/>
        <w:rPr>
          <w:rFonts w:ascii="Arial" w:hAnsi="Arial" w:cs="Arial"/>
          <w:sz w:val="18"/>
          <w:szCs w:val="18"/>
        </w:rPr>
      </w:pP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sectPr w:rsidR="0070431B" w:rsidSect="00FF1630">
      <w:headerReference w:type="even" r:id="rId32"/>
      <w:headerReference w:type="default" r:id="rId33"/>
      <w:footerReference w:type="even" r:id="rId34"/>
      <w:footerReference w:type="default" r:id="rId35"/>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DD77D" w14:textId="77777777" w:rsidR="00FF1630" w:rsidRDefault="00FF1630" w:rsidP="00EA5418">
      <w:pPr>
        <w:spacing w:after="0" w:line="240" w:lineRule="auto"/>
      </w:pPr>
      <w:r>
        <w:separator/>
      </w:r>
    </w:p>
  </w:endnote>
  <w:endnote w:type="continuationSeparator" w:id="0">
    <w:p w14:paraId="05809F56" w14:textId="77777777" w:rsidR="00FF1630" w:rsidRDefault="00FF163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E62F" w14:textId="315407ED" w:rsidR="00F60FD7" w:rsidRPr="004E3EA4" w:rsidRDefault="00F60FD7"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1945B9" w:rsidRPr="001945B9">
          <w:rPr>
            <w:rFonts w:ascii="Arial" w:hAnsi="Arial" w:cs="Arial"/>
            <w:noProof/>
            <w:sz w:val="20"/>
            <w:lang w:val="es-ES"/>
          </w:rPr>
          <w:t>2</w:t>
        </w:r>
        <w:r w:rsidRPr="004E3EA4">
          <w:rPr>
            <w:rFonts w:ascii="Arial" w:hAnsi="Arial" w:cs="Arial"/>
            <w:sz w:val="20"/>
          </w:rPr>
          <w:fldChar w:fldCharType="end"/>
        </w:r>
      </w:sdtContent>
    </w:sdt>
  </w:p>
  <w:p w14:paraId="62447935" w14:textId="77777777" w:rsidR="00F60FD7" w:rsidRDefault="00F60F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476C" w14:textId="05497E75" w:rsidR="00F60FD7" w:rsidRPr="003527CD" w:rsidRDefault="00F60FD7"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1945B9" w:rsidRPr="001945B9">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66DF7" w14:textId="77777777" w:rsidR="00FF1630" w:rsidRDefault="00FF1630" w:rsidP="00EA5418">
      <w:pPr>
        <w:spacing w:after="0" w:line="240" w:lineRule="auto"/>
      </w:pPr>
      <w:r>
        <w:separator/>
      </w:r>
    </w:p>
  </w:footnote>
  <w:footnote w:type="continuationSeparator" w:id="0">
    <w:p w14:paraId="102688A0" w14:textId="77777777" w:rsidR="00FF1630" w:rsidRDefault="00FF163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78E5" w14:textId="77777777" w:rsidR="00F60FD7" w:rsidRDefault="00F60FD7"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F60FD7" w:rsidRDefault="00F6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F60FD7" w:rsidRDefault="00F6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3260AB3F" w:rsidR="00F60FD7" w:rsidRPr="00DE4269" w:rsidRDefault="00F60FD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9B66AA" w:rsidRDefault="009B66A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9B66AA" w:rsidRDefault="009B66A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3260AB3F" w:rsidR="009B66AA" w:rsidRPr="00DE4269" w:rsidRDefault="009B66AA"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1BBA" w14:textId="77777777" w:rsidR="00F60FD7" w:rsidRPr="003527CD" w:rsidRDefault="00F60FD7"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0652623">
    <w:abstractNumId w:val="6"/>
  </w:num>
  <w:num w:numId="2" w16cid:durableId="1017385422">
    <w:abstractNumId w:val="0"/>
  </w:num>
  <w:num w:numId="3" w16cid:durableId="1725760984">
    <w:abstractNumId w:val="2"/>
  </w:num>
  <w:num w:numId="4" w16cid:durableId="19792580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36595607">
    <w:abstractNumId w:val="4"/>
  </w:num>
  <w:num w:numId="6" w16cid:durableId="1125857067">
    <w:abstractNumId w:val="1"/>
  </w:num>
  <w:num w:numId="7" w16cid:durableId="830952229">
    <w:abstractNumId w:val="5"/>
  </w:num>
  <w:num w:numId="8" w16cid:durableId="8319141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3AA1"/>
    <w:rsid w:val="000155BC"/>
    <w:rsid w:val="000164D8"/>
    <w:rsid w:val="000202A5"/>
    <w:rsid w:val="000209E1"/>
    <w:rsid w:val="00021787"/>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695D"/>
    <w:rsid w:val="00046F70"/>
    <w:rsid w:val="00053994"/>
    <w:rsid w:val="00054C4D"/>
    <w:rsid w:val="00056EDF"/>
    <w:rsid w:val="000574E6"/>
    <w:rsid w:val="00057C1C"/>
    <w:rsid w:val="00062509"/>
    <w:rsid w:val="00063159"/>
    <w:rsid w:val="000655E4"/>
    <w:rsid w:val="0006610A"/>
    <w:rsid w:val="0006650D"/>
    <w:rsid w:val="0006668A"/>
    <w:rsid w:val="000674ED"/>
    <w:rsid w:val="0006755E"/>
    <w:rsid w:val="00071309"/>
    <w:rsid w:val="00071E4C"/>
    <w:rsid w:val="00072BA1"/>
    <w:rsid w:val="00072C3F"/>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6E95"/>
    <w:rsid w:val="000C7FBB"/>
    <w:rsid w:val="000D01E9"/>
    <w:rsid w:val="000D0EE3"/>
    <w:rsid w:val="000D4D45"/>
    <w:rsid w:val="000D553D"/>
    <w:rsid w:val="000D76D8"/>
    <w:rsid w:val="000E029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1F18"/>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528B7"/>
    <w:rsid w:val="001547B6"/>
    <w:rsid w:val="00155BEA"/>
    <w:rsid w:val="00155DFE"/>
    <w:rsid w:val="001562E4"/>
    <w:rsid w:val="00160E16"/>
    <w:rsid w:val="00161865"/>
    <w:rsid w:val="0016242F"/>
    <w:rsid w:val="001635E1"/>
    <w:rsid w:val="00165BB4"/>
    <w:rsid w:val="001660FE"/>
    <w:rsid w:val="00167E33"/>
    <w:rsid w:val="00171788"/>
    <w:rsid w:val="00172B7D"/>
    <w:rsid w:val="00174EA9"/>
    <w:rsid w:val="00174F47"/>
    <w:rsid w:val="001769D8"/>
    <w:rsid w:val="001778B1"/>
    <w:rsid w:val="0018009C"/>
    <w:rsid w:val="0018055B"/>
    <w:rsid w:val="001837A5"/>
    <w:rsid w:val="001854C3"/>
    <w:rsid w:val="0018603D"/>
    <w:rsid w:val="0018652F"/>
    <w:rsid w:val="001872A3"/>
    <w:rsid w:val="00191085"/>
    <w:rsid w:val="00191FC5"/>
    <w:rsid w:val="00192770"/>
    <w:rsid w:val="00192B86"/>
    <w:rsid w:val="00193B2D"/>
    <w:rsid w:val="001945B9"/>
    <w:rsid w:val="001951AF"/>
    <w:rsid w:val="001A26CD"/>
    <w:rsid w:val="001A3F6A"/>
    <w:rsid w:val="001A4DF9"/>
    <w:rsid w:val="001A575F"/>
    <w:rsid w:val="001A78A4"/>
    <w:rsid w:val="001B011B"/>
    <w:rsid w:val="001B0197"/>
    <w:rsid w:val="001B0C81"/>
    <w:rsid w:val="001B13BF"/>
    <w:rsid w:val="001B1579"/>
    <w:rsid w:val="001B1B72"/>
    <w:rsid w:val="001B1BBF"/>
    <w:rsid w:val="001B2632"/>
    <w:rsid w:val="001B267D"/>
    <w:rsid w:val="001B378A"/>
    <w:rsid w:val="001B4EE5"/>
    <w:rsid w:val="001B51F1"/>
    <w:rsid w:val="001B6F95"/>
    <w:rsid w:val="001B7DDA"/>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B11"/>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31DD"/>
    <w:rsid w:val="00243D91"/>
    <w:rsid w:val="00244D40"/>
    <w:rsid w:val="00245E54"/>
    <w:rsid w:val="00247A5F"/>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58C7"/>
    <w:rsid w:val="00287C7B"/>
    <w:rsid w:val="00287D90"/>
    <w:rsid w:val="00290A24"/>
    <w:rsid w:val="00295D09"/>
    <w:rsid w:val="00295FCC"/>
    <w:rsid w:val="00297D52"/>
    <w:rsid w:val="002A15A9"/>
    <w:rsid w:val="002A1E5B"/>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D3E68"/>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17051"/>
    <w:rsid w:val="00420208"/>
    <w:rsid w:val="00420656"/>
    <w:rsid w:val="004213BC"/>
    <w:rsid w:val="00424251"/>
    <w:rsid w:val="004306DA"/>
    <w:rsid w:val="004311BE"/>
    <w:rsid w:val="00435556"/>
    <w:rsid w:val="00435A64"/>
    <w:rsid w:val="004373B9"/>
    <w:rsid w:val="00437809"/>
    <w:rsid w:val="00441829"/>
    <w:rsid w:val="00441E7C"/>
    <w:rsid w:val="0044253C"/>
    <w:rsid w:val="004466A7"/>
    <w:rsid w:val="00447FD2"/>
    <w:rsid w:val="00451963"/>
    <w:rsid w:val="00451C8F"/>
    <w:rsid w:val="00454129"/>
    <w:rsid w:val="00454250"/>
    <w:rsid w:val="00454AE1"/>
    <w:rsid w:val="0046161E"/>
    <w:rsid w:val="00462592"/>
    <w:rsid w:val="00463B0D"/>
    <w:rsid w:val="0046425D"/>
    <w:rsid w:val="00464409"/>
    <w:rsid w:val="004644D4"/>
    <w:rsid w:val="004649FD"/>
    <w:rsid w:val="00466C1E"/>
    <w:rsid w:val="0047083F"/>
    <w:rsid w:val="004714CF"/>
    <w:rsid w:val="00471984"/>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6F40"/>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41A"/>
    <w:rsid w:val="004C0ECA"/>
    <w:rsid w:val="004C1616"/>
    <w:rsid w:val="004C187E"/>
    <w:rsid w:val="004C3F0D"/>
    <w:rsid w:val="004C4F16"/>
    <w:rsid w:val="004C5E7B"/>
    <w:rsid w:val="004D30E1"/>
    <w:rsid w:val="004D3E91"/>
    <w:rsid w:val="004D41B8"/>
    <w:rsid w:val="004D5BEA"/>
    <w:rsid w:val="004D6FA0"/>
    <w:rsid w:val="004E0191"/>
    <w:rsid w:val="004E283B"/>
    <w:rsid w:val="004E2DD2"/>
    <w:rsid w:val="004E3EA4"/>
    <w:rsid w:val="004E4A13"/>
    <w:rsid w:val="004E6076"/>
    <w:rsid w:val="004F53E3"/>
    <w:rsid w:val="004F542A"/>
    <w:rsid w:val="004F5641"/>
    <w:rsid w:val="004F5A19"/>
    <w:rsid w:val="004F5AA8"/>
    <w:rsid w:val="004F6EBD"/>
    <w:rsid w:val="005008D3"/>
    <w:rsid w:val="0050183B"/>
    <w:rsid w:val="00502DDD"/>
    <w:rsid w:val="00503454"/>
    <w:rsid w:val="005111D4"/>
    <w:rsid w:val="00513054"/>
    <w:rsid w:val="00513E7E"/>
    <w:rsid w:val="00514F2B"/>
    <w:rsid w:val="005162B1"/>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57BB"/>
    <w:rsid w:val="00537139"/>
    <w:rsid w:val="00540418"/>
    <w:rsid w:val="0054218C"/>
    <w:rsid w:val="00543F6D"/>
    <w:rsid w:val="00543F97"/>
    <w:rsid w:val="00545527"/>
    <w:rsid w:val="00545F75"/>
    <w:rsid w:val="00545F9F"/>
    <w:rsid w:val="00550363"/>
    <w:rsid w:val="00551999"/>
    <w:rsid w:val="0055233A"/>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1457"/>
    <w:rsid w:val="005D296A"/>
    <w:rsid w:val="005D2D11"/>
    <w:rsid w:val="005D3D25"/>
    <w:rsid w:val="005D5223"/>
    <w:rsid w:val="005D568E"/>
    <w:rsid w:val="005D67E1"/>
    <w:rsid w:val="005E07B4"/>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57705"/>
    <w:rsid w:val="00660015"/>
    <w:rsid w:val="00661352"/>
    <w:rsid w:val="006619E0"/>
    <w:rsid w:val="00661A17"/>
    <w:rsid w:val="00663540"/>
    <w:rsid w:val="006653EB"/>
    <w:rsid w:val="00667535"/>
    <w:rsid w:val="00672D27"/>
    <w:rsid w:val="0067443A"/>
    <w:rsid w:val="00675B86"/>
    <w:rsid w:val="00677384"/>
    <w:rsid w:val="006774BF"/>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72E6"/>
    <w:rsid w:val="006C1B54"/>
    <w:rsid w:val="006C2C92"/>
    <w:rsid w:val="006C4213"/>
    <w:rsid w:val="006C54B8"/>
    <w:rsid w:val="006C5BA2"/>
    <w:rsid w:val="006C7E6F"/>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56E"/>
    <w:rsid w:val="0073581C"/>
    <w:rsid w:val="00736F40"/>
    <w:rsid w:val="007375D6"/>
    <w:rsid w:val="007420CD"/>
    <w:rsid w:val="00742C34"/>
    <w:rsid w:val="007439D3"/>
    <w:rsid w:val="00743BF7"/>
    <w:rsid w:val="0074488D"/>
    <w:rsid w:val="00751158"/>
    <w:rsid w:val="00753BE8"/>
    <w:rsid w:val="00754388"/>
    <w:rsid w:val="00755CE2"/>
    <w:rsid w:val="00757C3E"/>
    <w:rsid w:val="007615D9"/>
    <w:rsid w:val="00762268"/>
    <w:rsid w:val="00762F48"/>
    <w:rsid w:val="00764D64"/>
    <w:rsid w:val="007655CF"/>
    <w:rsid w:val="007677CE"/>
    <w:rsid w:val="00770054"/>
    <w:rsid w:val="007723AF"/>
    <w:rsid w:val="00773003"/>
    <w:rsid w:val="00773067"/>
    <w:rsid w:val="00773A43"/>
    <w:rsid w:val="00773EBC"/>
    <w:rsid w:val="00774FD3"/>
    <w:rsid w:val="007769DF"/>
    <w:rsid w:val="00776BBF"/>
    <w:rsid w:val="00777069"/>
    <w:rsid w:val="00777439"/>
    <w:rsid w:val="00777526"/>
    <w:rsid w:val="007818C3"/>
    <w:rsid w:val="00782722"/>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C71"/>
    <w:rsid w:val="00820DB7"/>
    <w:rsid w:val="00822CD5"/>
    <w:rsid w:val="00823256"/>
    <w:rsid w:val="00823500"/>
    <w:rsid w:val="00826474"/>
    <w:rsid w:val="008276B2"/>
    <w:rsid w:val="00830523"/>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6CDA"/>
    <w:rsid w:val="008573E2"/>
    <w:rsid w:val="008620F6"/>
    <w:rsid w:val="008624D8"/>
    <w:rsid w:val="008630BA"/>
    <w:rsid w:val="0086433A"/>
    <w:rsid w:val="008643A9"/>
    <w:rsid w:val="00864C50"/>
    <w:rsid w:val="00864FE6"/>
    <w:rsid w:val="008659FD"/>
    <w:rsid w:val="00866F4E"/>
    <w:rsid w:val="00870F4E"/>
    <w:rsid w:val="00872C30"/>
    <w:rsid w:val="008742BD"/>
    <w:rsid w:val="00874341"/>
    <w:rsid w:val="0087478F"/>
    <w:rsid w:val="00876082"/>
    <w:rsid w:val="0087691B"/>
    <w:rsid w:val="008805C8"/>
    <w:rsid w:val="00881BEF"/>
    <w:rsid w:val="008838EF"/>
    <w:rsid w:val="00883D58"/>
    <w:rsid w:val="00885671"/>
    <w:rsid w:val="00885AD1"/>
    <w:rsid w:val="0089054E"/>
    <w:rsid w:val="00891820"/>
    <w:rsid w:val="00892C87"/>
    <w:rsid w:val="00894C50"/>
    <w:rsid w:val="00895EF7"/>
    <w:rsid w:val="008963AC"/>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F3"/>
    <w:rsid w:val="008F5430"/>
    <w:rsid w:val="008F5933"/>
    <w:rsid w:val="008F5C9C"/>
    <w:rsid w:val="008F6D58"/>
    <w:rsid w:val="008F6EFE"/>
    <w:rsid w:val="008F708E"/>
    <w:rsid w:val="00902118"/>
    <w:rsid w:val="00906016"/>
    <w:rsid w:val="00907C20"/>
    <w:rsid w:val="00910949"/>
    <w:rsid w:val="0091195E"/>
    <w:rsid w:val="0091394B"/>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5A49"/>
    <w:rsid w:val="009364B7"/>
    <w:rsid w:val="0093756D"/>
    <w:rsid w:val="00940901"/>
    <w:rsid w:val="0094113D"/>
    <w:rsid w:val="009418D0"/>
    <w:rsid w:val="00941FB8"/>
    <w:rsid w:val="0094203F"/>
    <w:rsid w:val="009437BD"/>
    <w:rsid w:val="009458FF"/>
    <w:rsid w:val="009463C4"/>
    <w:rsid w:val="009477E1"/>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11E3"/>
    <w:rsid w:val="009B20EA"/>
    <w:rsid w:val="009B2C65"/>
    <w:rsid w:val="009B49CD"/>
    <w:rsid w:val="009B515F"/>
    <w:rsid w:val="009B5552"/>
    <w:rsid w:val="009B64AA"/>
    <w:rsid w:val="009B66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A018A3"/>
    <w:rsid w:val="00A01B1B"/>
    <w:rsid w:val="00A02E76"/>
    <w:rsid w:val="00A045DD"/>
    <w:rsid w:val="00A06D66"/>
    <w:rsid w:val="00A073BF"/>
    <w:rsid w:val="00A07E0D"/>
    <w:rsid w:val="00A1075C"/>
    <w:rsid w:val="00A10B76"/>
    <w:rsid w:val="00A14DCC"/>
    <w:rsid w:val="00A16DA6"/>
    <w:rsid w:val="00A228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0357"/>
    <w:rsid w:val="00A52E61"/>
    <w:rsid w:val="00A54D75"/>
    <w:rsid w:val="00A55A0E"/>
    <w:rsid w:val="00A56327"/>
    <w:rsid w:val="00A56749"/>
    <w:rsid w:val="00A6063E"/>
    <w:rsid w:val="00A634CF"/>
    <w:rsid w:val="00A65407"/>
    <w:rsid w:val="00A70107"/>
    <w:rsid w:val="00A70B74"/>
    <w:rsid w:val="00A74179"/>
    <w:rsid w:val="00A74CAF"/>
    <w:rsid w:val="00A764EF"/>
    <w:rsid w:val="00A8050B"/>
    <w:rsid w:val="00A8077E"/>
    <w:rsid w:val="00A8166B"/>
    <w:rsid w:val="00A83676"/>
    <w:rsid w:val="00A852D6"/>
    <w:rsid w:val="00A85EE5"/>
    <w:rsid w:val="00A86A0C"/>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35F1"/>
    <w:rsid w:val="00AA6498"/>
    <w:rsid w:val="00AA6892"/>
    <w:rsid w:val="00AA7AE3"/>
    <w:rsid w:val="00AB0983"/>
    <w:rsid w:val="00AB2062"/>
    <w:rsid w:val="00AB31F3"/>
    <w:rsid w:val="00AB3613"/>
    <w:rsid w:val="00AB5524"/>
    <w:rsid w:val="00AB5D6A"/>
    <w:rsid w:val="00AB7FCC"/>
    <w:rsid w:val="00AC2CB6"/>
    <w:rsid w:val="00AD27C1"/>
    <w:rsid w:val="00AD344C"/>
    <w:rsid w:val="00AD46DD"/>
    <w:rsid w:val="00AD4F95"/>
    <w:rsid w:val="00AD5E8D"/>
    <w:rsid w:val="00AE0E84"/>
    <w:rsid w:val="00AE2CC1"/>
    <w:rsid w:val="00AE30F7"/>
    <w:rsid w:val="00AE32DD"/>
    <w:rsid w:val="00AF18C2"/>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43E2"/>
    <w:rsid w:val="00B146E2"/>
    <w:rsid w:val="00B14AB7"/>
    <w:rsid w:val="00B15C1F"/>
    <w:rsid w:val="00B207BD"/>
    <w:rsid w:val="00B22704"/>
    <w:rsid w:val="00B22AC4"/>
    <w:rsid w:val="00B23F18"/>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605D"/>
    <w:rsid w:val="00B67BC6"/>
    <w:rsid w:val="00B73EB9"/>
    <w:rsid w:val="00B808C4"/>
    <w:rsid w:val="00B818B2"/>
    <w:rsid w:val="00B81C74"/>
    <w:rsid w:val="00B82BF9"/>
    <w:rsid w:val="00B83E59"/>
    <w:rsid w:val="00B849EE"/>
    <w:rsid w:val="00B84D02"/>
    <w:rsid w:val="00B850E5"/>
    <w:rsid w:val="00B86673"/>
    <w:rsid w:val="00B870E0"/>
    <w:rsid w:val="00B87589"/>
    <w:rsid w:val="00B95032"/>
    <w:rsid w:val="00B95727"/>
    <w:rsid w:val="00B97444"/>
    <w:rsid w:val="00BA0268"/>
    <w:rsid w:val="00BA1AD8"/>
    <w:rsid w:val="00BA1ADB"/>
    <w:rsid w:val="00BA26B4"/>
    <w:rsid w:val="00BA2940"/>
    <w:rsid w:val="00BA32D0"/>
    <w:rsid w:val="00BA36BE"/>
    <w:rsid w:val="00BA3B1D"/>
    <w:rsid w:val="00BA58E7"/>
    <w:rsid w:val="00BA6E67"/>
    <w:rsid w:val="00BA7B26"/>
    <w:rsid w:val="00BB327F"/>
    <w:rsid w:val="00BB3832"/>
    <w:rsid w:val="00BB7DA9"/>
    <w:rsid w:val="00BC3E0C"/>
    <w:rsid w:val="00BC4AD5"/>
    <w:rsid w:val="00BC6745"/>
    <w:rsid w:val="00BC72E3"/>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3317"/>
    <w:rsid w:val="00C0654D"/>
    <w:rsid w:val="00C06709"/>
    <w:rsid w:val="00C1028E"/>
    <w:rsid w:val="00C105A6"/>
    <w:rsid w:val="00C10C63"/>
    <w:rsid w:val="00C1279C"/>
    <w:rsid w:val="00C14867"/>
    <w:rsid w:val="00C16822"/>
    <w:rsid w:val="00C16E53"/>
    <w:rsid w:val="00C17841"/>
    <w:rsid w:val="00C22F0D"/>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4BE"/>
    <w:rsid w:val="00C90A40"/>
    <w:rsid w:val="00C91C5A"/>
    <w:rsid w:val="00C92668"/>
    <w:rsid w:val="00C95974"/>
    <w:rsid w:val="00C97083"/>
    <w:rsid w:val="00C97412"/>
    <w:rsid w:val="00CA24BE"/>
    <w:rsid w:val="00CA2A37"/>
    <w:rsid w:val="00CA37AE"/>
    <w:rsid w:val="00CA5CDF"/>
    <w:rsid w:val="00CA631E"/>
    <w:rsid w:val="00CA7A99"/>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1486"/>
    <w:rsid w:val="00D055EC"/>
    <w:rsid w:val="00D05E3D"/>
    <w:rsid w:val="00D06FE8"/>
    <w:rsid w:val="00D10F96"/>
    <w:rsid w:val="00D11F33"/>
    <w:rsid w:val="00D12198"/>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0DC7"/>
    <w:rsid w:val="00D62468"/>
    <w:rsid w:val="00D628F8"/>
    <w:rsid w:val="00D63571"/>
    <w:rsid w:val="00D66910"/>
    <w:rsid w:val="00D6706B"/>
    <w:rsid w:val="00D700D5"/>
    <w:rsid w:val="00D71A33"/>
    <w:rsid w:val="00D73B4D"/>
    <w:rsid w:val="00D7657E"/>
    <w:rsid w:val="00D80D5B"/>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9C2"/>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26E6E"/>
    <w:rsid w:val="00E30318"/>
    <w:rsid w:val="00E32708"/>
    <w:rsid w:val="00E32B77"/>
    <w:rsid w:val="00E33BBD"/>
    <w:rsid w:val="00E37034"/>
    <w:rsid w:val="00E37782"/>
    <w:rsid w:val="00E40F44"/>
    <w:rsid w:val="00E44022"/>
    <w:rsid w:val="00E442EC"/>
    <w:rsid w:val="00E449D6"/>
    <w:rsid w:val="00E45112"/>
    <w:rsid w:val="00E45664"/>
    <w:rsid w:val="00E505EF"/>
    <w:rsid w:val="00E514F6"/>
    <w:rsid w:val="00E545B2"/>
    <w:rsid w:val="00E549EA"/>
    <w:rsid w:val="00E57C06"/>
    <w:rsid w:val="00E651B5"/>
    <w:rsid w:val="00E65B2D"/>
    <w:rsid w:val="00E660B4"/>
    <w:rsid w:val="00E70E56"/>
    <w:rsid w:val="00E755A9"/>
    <w:rsid w:val="00E75CE5"/>
    <w:rsid w:val="00E768E8"/>
    <w:rsid w:val="00E8055E"/>
    <w:rsid w:val="00E81279"/>
    <w:rsid w:val="00E82195"/>
    <w:rsid w:val="00E828CB"/>
    <w:rsid w:val="00E82F7C"/>
    <w:rsid w:val="00E83362"/>
    <w:rsid w:val="00E849B4"/>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6A4"/>
    <w:rsid w:val="00EC5C3D"/>
    <w:rsid w:val="00EC5C84"/>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2F63"/>
    <w:rsid w:val="00EE3D4E"/>
    <w:rsid w:val="00EE46FB"/>
    <w:rsid w:val="00EF2991"/>
    <w:rsid w:val="00EF59BD"/>
    <w:rsid w:val="00EF5CC7"/>
    <w:rsid w:val="00EF62F8"/>
    <w:rsid w:val="00EF7710"/>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0FD7"/>
    <w:rsid w:val="00F619D6"/>
    <w:rsid w:val="00F622F4"/>
    <w:rsid w:val="00F6319C"/>
    <w:rsid w:val="00F6438A"/>
    <w:rsid w:val="00F6724C"/>
    <w:rsid w:val="00F70304"/>
    <w:rsid w:val="00F7273B"/>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A0F"/>
    <w:rsid w:val="00FC4B1B"/>
    <w:rsid w:val="00FC6EA4"/>
    <w:rsid w:val="00FD16BF"/>
    <w:rsid w:val="00FD5A63"/>
    <w:rsid w:val="00FE00AA"/>
    <w:rsid w:val="00FE0968"/>
    <w:rsid w:val="00FE1848"/>
    <w:rsid w:val="00FE3B85"/>
    <w:rsid w:val="00FE4134"/>
    <w:rsid w:val="00FE4810"/>
    <w:rsid w:val="00FE59F7"/>
    <w:rsid w:val="00FE6B37"/>
    <w:rsid w:val="00FE75AC"/>
    <w:rsid w:val="00FE7EF5"/>
    <w:rsid w:val="00FF1630"/>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99"/>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2.png"/><Relationship Id="rId21" Type="http://schemas.openxmlformats.org/officeDocument/2006/relationships/package" Target="embeddings/Microsoft_Excel_Worksheet6.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1.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7.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package" Target="embeddings/Microsoft_Excel_Worksheet8.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74AF1-5679-428D-8CA7-B4479D338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19860</Words>
  <Characters>109234</Characters>
  <Application>Microsoft Office Word</Application>
  <DocSecurity>0</DocSecurity>
  <Lines>910</Lines>
  <Paragraphs>257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2024-04-24T18:48:00Z</dcterms:created>
  <dcterms:modified xsi:type="dcterms:W3CDTF">2024-04-24T18:48:00Z</dcterms:modified>
</cp:coreProperties>
</file>