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DBAF2" w14:textId="77777777" w:rsidR="00420656" w:rsidRPr="0073056A" w:rsidRDefault="00420656" w:rsidP="00420656">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14:paraId="0B99AB7C" w14:textId="77777777" w:rsidR="00420656" w:rsidRDefault="00420656" w:rsidP="00420656">
      <w:pPr>
        <w:pStyle w:val="Texto"/>
        <w:tabs>
          <w:tab w:val="left" w:pos="284"/>
        </w:tabs>
        <w:spacing w:after="0" w:line="276" w:lineRule="auto"/>
        <w:ind w:left="284" w:firstLine="0"/>
        <w:rPr>
          <w:b/>
          <w:szCs w:val="18"/>
          <w:lang w:val="es-MX"/>
        </w:rPr>
      </w:pPr>
    </w:p>
    <w:p w14:paraId="21547829" w14:textId="77777777" w:rsidR="00420656" w:rsidRPr="0073056A" w:rsidRDefault="00420656" w:rsidP="00420656">
      <w:pPr>
        <w:pStyle w:val="Texto"/>
        <w:tabs>
          <w:tab w:val="left" w:pos="284"/>
        </w:tabs>
        <w:spacing w:after="0" w:line="276" w:lineRule="auto"/>
        <w:ind w:left="284" w:firstLine="0"/>
        <w:rPr>
          <w:b/>
          <w:szCs w:val="18"/>
        </w:rPr>
      </w:pPr>
      <w:r w:rsidRPr="0073056A">
        <w:rPr>
          <w:b/>
          <w:szCs w:val="18"/>
          <w:lang w:val="es-MX"/>
        </w:rPr>
        <w:t>Introducción</w:t>
      </w:r>
    </w:p>
    <w:p w14:paraId="409274A4" w14:textId="77777777" w:rsidR="00420656" w:rsidRPr="0073056A" w:rsidRDefault="00420656" w:rsidP="00420656">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14:paraId="4D9196D0" w14:textId="77777777" w:rsidR="00420656" w:rsidRPr="0073056A" w:rsidRDefault="00420656" w:rsidP="00420656">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14:paraId="65537E3B" w14:textId="77777777" w:rsidR="00420656" w:rsidRDefault="00420656" w:rsidP="00420656">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14:paraId="22099BA7" w14:textId="432B1CB0" w:rsidR="00420656" w:rsidRDefault="00420656" w:rsidP="00420656">
      <w:pPr>
        <w:pStyle w:val="Texto"/>
        <w:numPr>
          <w:ilvl w:val="0"/>
          <w:numId w:val="5"/>
        </w:numPr>
        <w:tabs>
          <w:tab w:val="left" w:pos="284"/>
        </w:tabs>
        <w:spacing w:after="0" w:line="276" w:lineRule="auto"/>
        <w:rPr>
          <w:b/>
          <w:szCs w:val="18"/>
          <w:lang w:val="es-MX"/>
        </w:rPr>
      </w:pPr>
      <w:r>
        <w:rPr>
          <w:b/>
          <w:szCs w:val="18"/>
          <w:lang w:val="es-MX"/>
        </w:rPr>
        <w:t>Autorización e Historia</w:t>
      </w:r>
    </w:p>
    <w:p w14:paraId="65A51428"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El Estado de Tlaxcala es una de las </w:t>
      </w:r>
      <w:r w:rsidRPr="00E4317F">
        <w:rPr>
          <w:rFonts w:ascii="Arial" w:hAnsi="Arial" w:cs="Arial"/>
          <w:sz w:val="18"/>
          <w:szCs w:val="18"/>
        </w:rPr>
        <w:t>32 Entidades Federativas</w:t>
      </w:r>
      <w:r>
        <w:rPr>
          <w:rFonts w:ascii="Arial" w:hAnsi="Arial" w:cs="Arial"/>
          <w:sz w:val="18"/>
          <w:szCs w:val="18"/>
        </w:rPr>
        <w:t xml:space="preserve"> de </w:t>
      </w:r>
      <w:r w:rsidRPr="00E4317F">
        <w:rPr>
          <w:rFonts w:ascii="Arial" w:hAnsi="Arial" w:cs="Arial"/>
          <w:sz w:val="18"/>
          <w:szCs w:val="18"/>
        </w:rPr>
        <w:t>México</w:t>
      </w:r>
      <w:r>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14:paraId="09033A9C"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14:paraId="5BEC1609"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r w:rsidRPr="00E4317F">
        <w:rPr>
          <w:rFonts w:ascii="Arial" w:hAnsi="Arial" w:cs="Arial"/>
          <w:sz w:val="18"/>
          <w:szCs w:val="18"/>
        </w:rPr>
        <w:t>Nueva España</w:t>
      </w:r>
      <w:r>
        <w:rPr>
          <w:rFonts w:ascii="Arial" w:hAnsi="Arial" w:cs="Arial"/>
          <w:sz w:val="18"/>
          <w:szCs w:val="18"/>
        </w:rPr>
        <w:t xml:space="preserve"> </w:t>
      </w:r>
      <w:r w:rsidRPr="00E4317F">
        <w:rPr>
          <w:rFonts w:ascii="Arial" w:hAnsi="Arial" w:cs="Arial"/>
          <w:sz w:val="18"/>
          <w:szCs w:val="18"/>
        </w:rPr>
        <w:t>Antonio de Mendoza</w:t>
      </w:r>
      <w:r>
        <w:rPr>
          <w:rFonts w:ascii="Arial" w:hAnsi="Arial" w:cs="Arial"/>
          <w:sz w:val="18"/>
          <w:szCs w:val="18"/>
        </w:rPr>
        <w:t>. La ciudad de Tlaxcala fue fundada en la primavera de 1522.</w:t>
      </w:r>
    </w:p>
    <w:p w14:paraId="0B164D49"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En el año de 1535 Tlaxcala se convierte en la primera ciudad acreedora del escudo de armas por el rey Felipe II junto con el título de “Muy noble y muy leal ciudad de Tlaxcala”.</w:t>
      </w:r>
    </w:p>
    <w:p w14:paraId="719FA037"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Estado de Tlaxcala es parte integrante de los Estados Unidos Mexicanos, es Libre y Soberano en lo concerniente a su régimen interior, para su organización política y administrativa se divide en 60 municipios, 8 Distritos Judiciales y 794 poblaciones.</w:t>
      </w:r>
    </w:p>
    <w:p w14:paraId="13D24EC0"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El estado se localiza en la parte centro-oriente del país. Limita en su mayor parte con </w:t>
      </w:r>
      <w:r w:rsidRPr="00E4317F">
        <w:rPr>
          <w:rFonts w:ascii="Arial" w:hAnsi="Arial" w:cs="Arial"/>
          <w:sz w:val="18"/>
          <w:szCs w:val="18"/>
        </w:rPr>
        <w:t>Puebla</w:t>
      </w:r>
      <w:r>
        <w:rPr>
          <w:rFonts w:ascii="Arial" w:hAnsi="Arial" w:cs="Arial"/>
          <w:sz w:val="18"/>
          <w:szCs w:val="18"/>
        </w:rPr>
        <w:t xml:space="preserve"> al norte, este y sur, al oeste con el </w:t>
      </w:r>
      <w:r w:rsidRPr="00E4317F">
        <w:rPr>
          <w:rFonts w:ascii="Arial" w:hAnsi="Arial" w:cs="Arial"/>
          <w:sz w:val="18"/>
          <w:szCs w:val="18"/>
        </w:rPr>
        <w:t>Estado de México</w:t>
      </w:r>
      <w:r>
        <w:rPr>
          <w:rFonts w:ascii="Arial" w:hAnsi="Arial" w:cs="Arial"/>
          <w:sz w:val="18"/>
          <w:szCs w:val="18"/>
        </w:rPr>
        <w:t xml:space="preserve"> y al noroeste con </w:t>
      </w:r>
      <w:r w:rsidRPr="00E4317F">
        <w:rPr>
          <w:rFonts w:ascii="Arial" w:hAnsi="Arial" w:cs="Arial"/>
          <w:sz w:val="18"/>
          <w:szCs w:val="18"/>
        </w:rPr>
        <w:t>Hidalgo</w:t>
      </w:r>
      <w:r>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14:paraId="0623DD77"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Estado de Tlaxcala, cuenta con una superficie de 3,991 kilómetros cuadrados, lo cual representa el 0,2 % del territorio nacional.</w:t>
      </w:r>
    </w:p>
    <w:p w14:paraId="4F1E8103" w14:textId="4FB0702B" w:rsidR="00420656" w:rsidRPr="0073056A" w:rsidRDefault="00420656" w:rsidP="00420656">
      <w:pPr>
        <w:pStyle w:val="Texto"/>
        <w:tabs>
          <w:tab w:val="left" w:pos="284"/>
        </w:tabs>
        <w:spacing w:after="0" w:line="276" w:lineRule="auto"/>
        <w:ind w:left="284" w:firstLine="0"/>
        <w:rPr>
          <w:b/>
          <w:szCs w:val="18"/>
          <w:lang w:val="es-MX"/>
        </w:rPr>
      </w:pPr>
      <w:r>
        <w:rPr>
          <w:b/>
          <w:szCs w:val="18"/>
          <w:lang w:val="es-MX"/>
        </w:rPr>
        <w:t xml:space="preserve">2. </w:t>
      </w:r>
      <w:r w:rsidRPr="0073056A">
        <w:rPr>
          <w:b/>
          <w:szCs w:val="18"/>
          <w:lang w:val="es-MX"/>
        </w:rPr>
        <w:t>Panorama Económico y Financiero</w:t>
      </w:r>
    </w:p>
    <w:p w14:paraId="167B2043"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Estamos comprometidos a llevar al Estado de Tlaxcala a una transición hacia un nuevo régimen, en el que se incluirán cambios paulatinos en el andamiaje institucional, así como diversas acciones de gobierno, en donde el </w:t>
      </w:r>
      <w:r w:rsidRPr="00A74179">
        <w:rPr>
          <w:rFonts w:ascii="Arial" w:hAnsi="Arial" w:cs="Arial"/>
          <w:sz w:val="18"/>
          <w:szCs w:val="18"/>
        </w:rPr>
        <w:lastRenderedPageBreak/>
        <w:t>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14:paraId="43B13F98"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14:paraId="414F5F3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14:paraId="00E655F1"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2023, la actividad económica global creció por encima de lo anticipado a inicios de año. Si bien mostró un menor dinamismo respecto a 2022, esto se debió a la acumulación de choques que persistieron desde la pandemia del COVID-19, la invasión de Rusia a Ucrania y su efecto en las presiones inflacionarias, así como la persistencia de condiciones financieras restrictivas a nivel mundial. No obstante, durante 2023 se observó una disminución de la inflación aunada al buen desempeño de la mayoría de las economías, como fue el caso de México, que destacó como una de las economías emergentes con mayor crecimiento anual. De esta manera, hacia el cierre de 2023 se redujo la probabilidad de una recesión a nivel global en 2024, a la par que mejoraron las expectativas sobre una moderación en el crecimiento con menores tasas de interés. No obstante, el ritmo de crecimiento fue heterogéneo entre las principales economías del mundo. </w:t>
      </w:r>
    </w:p>
    <w:p w14:paraId="67106C39"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Por un lado, el Producto Interno Bruto (PIB) de Estados Unidos (EE.UU.) registró un crecimiento anual de 2.5% real apoyado por el consumo privado, principalmente. Ello reflejó el aumento en la creación de empleo, el incremento de los salarios reales y la sólida posición financiera de los hogares. Por el otro, en China, si bien el crecimiento real de la economía fue de 5.2% anual, 0.2 puntos porcentuales (</w:t>
      </w:r>
      <w:proofErr w:type="spellStart"/>
      <w:r w:rsidRPr="00A74179">
        <w:rPr>
          <w:rFonts w:ascii="Arial" w:hAnsi="Arial" w:cs="Arial"/>
          <w:sz w:val="18"/>
          <w:szCs w:val="18"/>
        </w:rPr>
        <w:t>pp</w:t>
      </w:r>
      <w:proofErr w:type="spellEnd"/>
      <w:r w:rsidRPr="00A74179">
        <w:rPr>
          <w:rFonts w:ascii="Arial" w:hAnsi="Arial" w:cs="Arial"/>
          <w:sz w:val="18"/>
          <w:szCs w:val="18"/>
        </w:rPr>
        <w:t xml:space="preserve">) por encima de la meta oficial, los problemas en el sector inmobiliario, la baja participación del consumo privado y la debilidad de la demanda externa continuaron pesando sobre la economía; esto a pesar de los apoyos fiscales otorgados por el gobierno chino. Asimismo, en la zona del euro, la pérdida de poder adquisitivo en los hogares y el menor nivel de actividad económica, ambos productos del aumento en los precios de los energéticos y la desaceleración de la inversión, propiciaron un crecimiento marginal en 2023. </w:t>
      </w:r>
    </w:p>
    <w:p w14:paraId="41EDB390"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el mismo año, las presiones inflacionarias se moderaron y continuaron con una trayectoria descendente, mejor a la esperada. Esta menor presión se explicó por la continua normalización de las cadenas de suministro y la disminución en los precios de las materias primas, en particular los energéticos. La menor demanda en los mercados laborales de las economías avanzadas también contribuyó a reducir las presiones salariales y su traslado a la inflación. Sin embargo, las tasas de inflación en estas economías permanecieron por arriba de los objetivos de los bancos centrales al finalizar el año, si bien las expectativas de mediano plazo se mantuvieron ancladas.</w:t>
      </w:r>
    </w:p>
    <w:p w14:paraId="601BB190"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Adicionalmente, durante 2023 se observaron episodios de volatilidad en los precios de los alimentos. En el segundo semestre del año, el fenómeno “El Niño” ocasionó pérdidas de cultivos y afectaciones en la producción de granos básicos, mientras que las políticas restrictivas a las exportaciones en diversos países también contribuyeron a </w:t>
      </w:r>
      <w:proofErr w:type="spellStart"/>
      <w:r w:rsidRPr="00A74179">
        <w:rPr>
          <w:rFonts w:ascii="Arial" w:hAnsi="Arial" w:cs="Arial"/>
          <w:sz w:val="18"/>
          <w:szCs w:val="18"/>
        </w:rPr>
        <w:t>a</w:t>
      </w:r>
      <w:proofErr w:type="spellEnd"/>
      <w:r w:rsidRPr="00A74179">
        <w:rPr>
          <w:rFonts w:ascii="Arial" w:hAnsi="Arial" w:cs="Arial"/>
          <w:sz w:val="18"/>
          <w:szCs w:val="18"/>
        </w:rPr>
        <w:t xml:space="preserve"> reducción de la oferta de productos agrícolas. Por su parte, los precios de los energéticos, particularmente del petróleo y sus derivados, se vieron presionados al alza por los nuevos recortes en la producción de petróleo por parte de la OPEP+ y los recientes conflictos en Medio Oriente. No obstante, estas presiones fueron compensadas por la mayor producción de crudo en EE.UU. y la expectativa de una desaceleración económica, especialmente en China, segundo consumidor a nivel global.</w:t>
      </w:r>
    </w:p>
    <w:p w14:paraId="0CA0B2D2"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lastRenderedPageBreak/>
        <w:t xml:space="preserve">En este contexto, los principales bancos centrales de las economías avanzadas continuaron elevando sus tasas de referencia hacia una postura monetaria más restrictiva, con el fin de reducir la persistencia de la inflación e incidir sobre las expectativas de mediano plazo. Tal es el caso de la Reserva Federal (FED), que en 2023 incrementó su tasa de referencia a niveles no vistos en los últimos 15 años, alcanzando un rango de 5.25-5.50%; mientras que el Banco Central Europeo (BCE) situó su tasa de depósitos en 4.0%, nivel no observado desde su creación en 1999. Hacia finales de 2023, ante la clara disminución de las presiones inflacionarias, la FED anunció que su tasa de política monetaria permanecería sin cambios el 26 de septiembre, al igual que el BCE, a partir del 17 de octubre. Finalmente, el 12 de diciembre, el presidente de la FED, Jerome Powell, reconoció estar cerca de la tasa terminal, reforzando el mensaje en los mercados del fin del ciclo de endurecimiento monetario. Por su parte, diversos bancos centrales en economías emergentes como Brasil, Chile y Perú, países que comenzaron su periodo restrictivo antes que las economías avanzadas, empezaron a relajar sus tasas de política monetaria desde la segunda mitad de 2023. </w:t>
      </w:r>
    </w:p>
    <w:p w14:paraId="668376F9"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Por lo anterior, las condiciones financieras mostraron un comportamiento restrictivo en gran parte de 2023, y se observaron episodios de volatilidad frente a la incertidumbre sobre los resultados económicos. Por ejemplo, las tasas de interés a 10 de años de los bonos del Tesoro alcanzaron niveles cercanos al 5.0% en octubre de 2023, nivel no visto desde 2007, comportamiento atribuido a la expectativa de que la FED podría mantener elevada su tasa de referencia por más tiempo. Sin embargo, la trayectoria descendente de la inflación, el mejor desempeño de los mercados laborales y la solidez económica en EE.UU., redujeron la volatilidad en los mercados de renta fija y crearon un panorama más favorable para disminuir las tasas en 2024. </w:t>
      </w:r>
    </w:p>
    <w:p w14:paraId="0797B29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este contexto, en 2023, la economía mexicana prolongó su racha de crecimiento por tercer año consecutivo, a la par de que se continuaron generando empleos con mayores salarios. Al interior, destacó el desempeño positivo de la inversión, principalmente la inversión privada, la cual alcanzó niveles y tasas de crecimiento históricas. Asimismo, el consumo privado se vio favorecido por los incrementos en la masa salarial, la mayor confianza del consumidor y la apreciación del peso respecto al dólar estadounidense. Mientras que, en el sector externo, destacaron los aumentos de los ingresos por turismo, el crecimiento de las exportaciones manufactureras y los niveles récord de Inversión Extranjera Directa (IED).</w:t>
      </w:r>
    </w:p>
    <w:p w14:paraId="12042800"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El sistema financiero mexicano experimentó en 2023 episodios de volatilidad y aversión al riesgo debido, principalmente, a la incertidumbre sobre la tasa terminal de la FED. Sin embargo, la perspectiva fue más favorable hacia el cierre del año a medida que se reforzó la expectativa del fin del ciclo de alza de tasas en EE.UU. Como resultado, el tipo de cambio finalizó el año en 17.0 pesos por dólar estadounidense, lo que implicó una apreciación de 14.9% respecto al año previo. En el mismo periodo, el rendimiento de los bonos del Gobierno Federal en moneda nacional a 10 años se ubicó en 8.9%, una disminución de 8 puntos base (pb) con respecto a 2022, mientras que la percepción de riesgo país, medido por las Permutas de Incumplimiento Crediticio (CDS) a 5 años, disminuyó en 42 pb, situándose en 88.5 pb al cierre de año. </w:t>
      </w:r>
    </w:p>
    <w:p w14:paraId="620DB27D"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El crédito vigente al sector privado no financiero por parte de la banca comercial registró un crecimiento real acumulado de 5.8% a noviembre de 2023; mientras que, al interior, el crédito vigente a las empresas reportó un crecimiento acumulado de 2.7% real en el mismo periodo. Por su parte, en noviembre, el Índice de Capitalización (ICAP) de la banca comercial se mantuvo por encima de los estándares internacionales de Basilea III (10.5%) en 19.3%, lo que da muestra de la estabilidad del sistema bancario del país. Finalmente, a lo largo del año, el Índice de Morosidad (IMOR) se ubicó en promedio en 2.1%, con lo cual se mantuvo muy por debajo del promedio observado en periodos de estrés previos como 2008-2009.</w:t>
      </w:r>
    </w:p>
    <w:p w14:paraId="0E8D3845"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La gestión de las finanzas públicas se llevó a cabo en un entorno donde prevalecieron condiciones financieras restrictivas tanto a nivel nacional como internacional, las cuales tuvieron un impacto directo en el costo financiero de la deuda. Además, la influencia de choques externos como los menores precios del petróleo y la apreciación del tipo de cambio respecto a lo programado resultaron en menores ingresos petroleros con respecto a lo previsto. No obstante, lo anterior fue compensado por la reconocida solidez de la recaudación tributaria y por un ejercicio ordenado del gasto público, el cual se efectuó bajo criterios de eficiencia y transparencia, sin descuidar el bienestar de la población. </w:t>
      </w:r>
    </w:p>
    <w:p w14:paraId="534116AB"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Como resultado del sólido desempeño de la actividad económica, así como de los efectos de las medidas implementadas para combatir el fraude fiscal y fomentar un mayor cumplimiento por parte de los contribuyentes, la recaudación tributaria permaneció robusta y mostró un crecimiento de 12.4% real al cierre de 2023, el más alto </w:t>
      </w:r>
      <w:r w:rsidRPr="00A74179">
        <w:rPr>
          <w:rFonts w:ascii="Arial" w:hAnsi="Arial" w:cs="Arial"/>
          <w:sz w:val="18"/>
          <w:szCs w:val="18"/>
        </w:rPr>
        <w:lastRenderedPageBreak/>
        <w:t xml:space="preserve">desde 2015. Además, los ingresos tributarios alcanzaron el 14.2% del PIB, lo que representó un máximo histórico y la materialización de ganancias permanentes en la recaudación de al menos 1.6 </w:t>
      </w:r>
      <w:proofErr w:type="spellStart"/>
      <w:r w:rsidRPr="00A74179">
        <w:rPr>
          <w:rFonts w:ascii="Arial" w:hAnsi="Arial" w:cs="Arial"/>
          <w:sz w:val="18"/>
          <w:szCs w:val="18"/>
        </w:rPr>
        <w:t>pp</w:t>
      </w:r>
      <w:proofErr w:type="spellEnd"/>
      <w:r w:rsidRPr="00A74179">
        <w:rPr>
          <w:rFonts w:ascii="Arial" w:hAnsi="Arial" w:cs="Arial"/>
          <w:sz w:val="18"/>
          <w:szCs w:val="18"/>
        </w:rPr>
        <w:t xml:space="preserve"> del PIB respecto a 2018. </w:t>
      </w:r>
    </w:p>
    <w:p w14:paraId="07623D0A"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particular, la recaudación del Impuesto Sobre la Renta (ISR) creció 4.6% respecto al nivel observado en 2022, en términos reales, impulsada por el crecimiento de los salarios, los altos niveles de empleo y las mayores ganancias de las empresas. Cabe destacar que el monto observado alcanzó un máximo histórico de 7.9% del PIB. </w:t>
      </w:r>
    </w:p>
    <w:p w14:paraId="5EB1E0F6"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Por otra parte, en 2023 se registró un alza de 6.0% real en la recaudación del Impuesto al Valor Agregado (IVA), la cual superó el promedio de 2013 a 2022 y reflejó el buen desempeño del consumo privado a nivel nacional. Como porcentaje del PIB, el IVA alcanzó un nivel equivalente al 4.3%, el más alto desde que se tiene registro. </w:t>
      </w:r>
    </w:p>
    <w:p w14:paraId="29A4BA70"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El crecimiento total de los ingresos tributarios también se explicó por el efecto de la mayor recaudación del Impuesto Especial sobre Producción y Servicios (IEPS), en el contexto de una menor base de comparación debido a la aplicación de estímulos al precio de los combustibles en 2022. En este sentido, la recaudación total del IEPS fue 3.6 veces superior a la observada en 2022, en términos reales, apoyada por un incremento de 3.6% anual del componente distinto de combustibles, crecimiento más alto desde 2017. </w:t>
      </w:r>
    </w:p>
    <w:p w14:paraId="6B5A8D1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Cabe destacar que, al excluir el IEPS de combustibles, la recaudación tributaria aumentó 4.5% real respecto a 2022, alcanzando un nivel sin precedentes equivalente al 13.5% de PIB. En el caso de los ingresos petroleros, en 2023 se observó una caída real anual de 31.0%, relacionada con la disminución del precio de la mezcla mexicana de petróleo para exportación (MME) respecto a los niveles alcanzados en 2022 y la apreciación del tipo de cambio, dos factores que fueron parcialmente compensados por una mayor plataforma de producción. De la totalidad de los ingresos petroleros, Petróleos Mexicanos (Pemex) recibió el 68.3% del total, cifra muy por encima de lo observado en administraciones anteriores, como resultado de las medidas emprendidas para reducir la carga fiscal de la empresa.</w:t>
      </w:r>
    </w:p>
    <w:p w14:paraId="501B6BB2"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Por su parte, el ejercicio del gasto público se mantuvo en línea con los criterios definidos en el Presupuesto de Egresos de la Federación (PEF) 2023 y con el cumplimiento de las metas fiscales; ello sin descuidar la asignación de recursos necesarios para el combate a la pobreza y la desigualdad, así como para la ampliación de la capacidad productiva y el resarcimiento de las brechas de infraestructura en la región sureste del país, principalmente. </w:t>
      </w:r>
    </w:p>
    <w:p w14:paraId="4E1F8075"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Al cierre de 2023, se registró un aumento del gasto en protección social de 8.6% real, y como porcentaje del PIB alcanzó un nivel sin precedentes de 5.4%. Este desempeño obedeció a un aumento del gasto en programas sociales, tales como pensiones y otros apoyos, mismos que han permitido reducir la pobreza y mejorar la calidad de vida de sectores de la población históricamente desfavorecidos. </w:t>
      </w:r>
    </w:p>
    <w:p w14:paraId="12386122"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A la par, el gasto en educación aumentó 5.1% respecto a su nivel de 2022, en términos reales, incremento que se compara favorablemente con la caída promedio de 0.3% registrada entre 2013 y 2022. Por su parte, la inversión física ascendió a 2.8% del PIB, lo que representó un crecimiento acumulado de 11.3% en términos reales respecto al nivel observado en 2018. </w:t>
      </w:r>
    </w:p>
    <w:p w14:paraId="6175A0E2"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El ejercicio de estos recursos permitió avanzar en la construcción de múltiples proyectos de infraestructura capaces de generar empleo de calidad e impulsar el crecimiento económico potencial. Por otro lado, con respecto al gasto de operación, se observó una reducción de 2.1% real, resultado de las medidas de austeridad para hacer un uso más eficiente de los recursos disponibles. </w:t>
      </w:r>
    </w:p>
    <w:p w14:paraId="2B7CB44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Entre los principales desafíos para la política fiscal, durante 2023 destacó la persistencia de las altas tasas de interés, con un impacto directo en el costo financiero, el cual registró un incremento de 21.5% real respecto a 2022. No obstante, la activa estrategia de manejo financiero y gestión de pasivos del Gobierno Federal permitió que el costo financiero de la deuda se ubicara 3.2% por debajo de lo programado.</w:t>
      </w:r>
    </w:p>
    <w:p w14:paraId="09273FB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2023, la política de financiamiento tuvo como prioridad garantizar la estabilidad de la trayectoria de la deuda como proporción del PIB, financiándose principalmente en el mercado interno con instrumentos a largo plazo y a tasa fija, lo que permitió cubrir las necesidades de financiamiento del Sector Público al menor costo y riesgo posible.</w:t>
      </w:r>
    </w:p>
    <w:p w14:paraId="47F13304"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el último trimestre de 2023, el ritmo de crecimiento de la economía global se moderó con respecto al trimestre previo, derivado del menor dinamismo en Europa y China, así como del aumento de los conflictos bélicos en Medio Oriente, los cuales provocaron disrupciones al comercio internacional. Lo anterior generó volatilidad en los </w:t>
      </w:r>
      <w:r w:rsidRPr="00A74179">
        <w:rPr>
          <w:rFonts w:ascii="Arial" w:hAnsi="Arial" w:cs="Arial"/>
          <w:sz w:val="18"/>
          <w:szCs w:val="18"/>
        </w:rPr>
        <w:lastRenderedPageBreak/>
        <w:t xml:space="preserve">mercados en un entorno en que las condiciones financieras mantuvieron su carácter restrictivo debido a las posturas de política monetaria de los principales bancos centrales del mundo. No obstante, los choques de oferta a nivel global continuaron cediendo junto con las presiones inflacionarias ante la normalización en las cadenas de suministro y los menores precios de materias primas. </w:t>
      </w:r>
    </w:p>
    <w:p w14:paraId="0A769C86"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La inflación en las economías avanzadas mantuvo una trayectoria descendente, aunque más gradual, mostrando persistencia en los precios de servicios asociado a los desfases del mercado laboral y las presiones en los servicios de alojamiento. En el caso de EE.UU., el ritmo de la actividad económica disminuyó con respecto al trimestre previo, aunque en menor magnitud a lo esperado por el consenso al inicio del periodo. El consumo privado presentó la mayor contribución al PIB derivado de la creación de empleo, las menores tasas de inflación y la sólida posición financiera de los hogares. Por sectores, las manufacturas continuaron mostrando un menor dinamismo, mientras que los servicios se desaceleraron. </w:t>
      </w:r>
    </w:p>
    <w:p w14:paraId="01E65DF7"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China, la economía moderó su crecimiento durante el cuarto trimestre con respecto al previo debido a la menor actividad en el sector inmobiliario y la menor demanda externa. A su vez, en la zona euro, la pérdida de dinamismo en la producción industrial y el menor volumen de exportaciones siguieron pesando sobre la evolución de la actividad económica hacia el cierre de año. Por su parte, se observaron episodios de volatilidad en los mercados de materias primas durante el cuarto trimestre de 2023. Si bien los precios de los energéticos, alimentos e insumos industriales cayeron con respecto al trimestre previo, su comportamiento registró presiones al alza asociadas a los conflictos geopolíticos en Medio Oriente, las tensiones en el Mar Rojo, los fenómenos climatológicos y los nuevos recortes en la producción de petróleo por parte de la OPEP+. </w:t>
      </w:r>
    </w:p>
    <w:p w14:paraId="4E07A342"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Así, en un contexto de menores presiones inflacionarias y una tasa de desempleo estable, la FED decidió mantener sin cambios su tasa de política monetaria durante el cuarto trimestre y reconoció estar cerca de la tasa terminal. Con esto se redujo la probabilidad que los mercados financieros asignaban a una posible recesión de la economía de EE.UU. en los meses siguientes, y aumentó la perspectiva de una moderación de la actividad económica generando condiciones financieras más favorables durante el resto del año y una mayor expectativa de recortes en la tasa de interés para 2024.</w:t>
      </w:r>
    </w:p>
    <w:p w14:paraId="59622A1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De acuerdo con la estimación preliminar, el PIB real de EE.UU. registró un crecimiento de 0.8% trimestral en el cuarto trimestre de 2023, con cifras ajustadas por estacionalidad, desacelerándose respecto al crecimiento trimestral de 1.2% observado en el periodo previo. No obstante, esta tasa superó el incremento trimestral de 0.2% esperado por el mercado a inicios del periodo. De esta manera, la actividad económica en EE.UU. registró un crecimiento anual de 2.5% en 2023, por encima del consenso de analistas que, al inicio del mismo año, anticipaba un aumento del PIB de 0.5% anual. El principal impulso a la economía estadounidense en el cuarto trimestre provino del consumo privado. Su contribución al PIB se mantuvo prácticamente sin cambios, en 0.5 </w:t>
      </w:r>
      <w:proofErr w:type="spellStart"/>
      <w:r w:rsidRPr="00A74179">
        <w:rPr>
          <w:rFonts w:ascii="Arial" w:hAnsi="Arial" w:cs="Arial"/>
          <w:sz w:val="18"/>
          <w:szCs w:val="18"/>
        </w:rPr>
        <w:t>pp</w:t>
      </w:r>
      <w:proofErr w:type="spellEnd"/>
      <w:r w:rsidRPr="00A74179">
        <w:rPr>
          <w:rFonts w:ascii="Arial" w:hAnsi="Arial" w:cs="Arial"/>
          <w:sz w:val="18"/>
          <w:szCs w:val="18"/>
        </w:rPr>
        <w:t xml:space="preserve">, con respecto al tercer trimestre. La contribución de la inversión fija bruta permaneció en 0.1 </w:t>
      </w:r>
      <w:proofErr w:type="spellStart"/>
      <w:r w:rsidRPr="00A74179">
        <w:rPr>
          <w:rFonts w:ascii="Arial" w:hAnsi="Arial" w:cs="Arial"/>
          <w:sz w:val="18"/>
          <w:szCs w:val="18"/>
        </w:rPr>
        <w:t>pp</w:t>
      </w:r>
      <w:proofErr w:type="spellEnd"/>
      <w:r w:rsidRPr="00A74179">
        <w:rPr>
          <w:rFonts w:ascii="Arial" w:hAnsi="Arial" w:cs="Arial"/>
          <w:sz w:val="18"/>
          <w:szCs w:val="18"/>
        </w:rPr>
        <w:t xml:space="preserve">, en el mismo periodo, apoyada por la inversión no residencial, ya que la residencial continuó limitada por las altas tasas hipotecarias. Por su parte, el gasto público contribuyó al crecimiento con 0.1 </w:t>
      </w:r>
      <w:proofErr w:type="spellStart"/>
      <w:r w:rsidRPr="00A74179">
        <w:rPr>
          <w:rFonts w:ascii="Arial" w:hAnsi="Arial" w:cs="Arial"/>
          <w:sz w:val="18"/>
          <w:szCs w:val="18"/>
        </w:rPr>
        <w:t>pp</w:t>
      </w:r>
      <w:proofErr w:type="spellEnd"/>
      <w:r w:rsidRPr="00A74179">
        <w:rPr>
          <w:rFonts w:ascii="Arial" w:hAnsi="Arial" w:cs="Arial"/>
          <w:sz w:val="18"/>
          <w:szCs w:val="18"/>
        </w:rPr>
        <w:t xml:space="preserve">, principalmente por la influencia de los gobiernos subnacionales. Los componentes más volátiles, como los inventarios, tuvieron una contribución nula al crecimiento del PIB del cuarto trimestre, mientras que las exportaciones netas contribuyeron con 0.1 </w:t>
      </w:r>
      <w:proofErr w:type="spellStart"/>
      <w:r w:rsidRPr="00A74179">
        <w:rPr>
          <w:rFonts w:ascii="Arial" w:hAnsi="Arial" w:cs="Arial"/>
          <w:sz w:val="18"/>
          <w:szCs w:val="18"/>
        </w:rPr>
        <w:t>pp</w:t>
      </w:r>
      <w:proofErr w:type="spellEnd"/>
      <w:r w:rsidRPr="00A74179">
        <w:rPr>
          <w:rFonts w:ascii="Arial" w:hAnsi="Arial" w:cs="Arial"/>
          <w:sz w:val="18"/>
          <w:szCs w:val="18"/>
        </w:rPr>
        <w:t>, debido al aumento en las exportaciones de servicios.</w:t>
      </w:r>
    </w:p>
    <w:p w14:paraId="25F6610B"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el cuarto trimestre de 2023, el consumo privado en EE.UU. se desaceleró a una tasa real de 0.7 desde el 0.8% previo, en su variación trimestral. Este comportamiento provino principalmente de un menor ritmo de crecimiento en el rubro de bienes, destacando el consumo de bienes recreativos, que aumentó a un ritmo de 2.6% desde 4.0% en el tercer trimestre, mientras que el rubro de vehículos y autopartes se contrajo 0.3%, al igual que el periodo previo, producto de los altos precios y las condiciones de crédito restrictivas. Por su parte, el gasto en servicios se desaceleró en el rubro de vivienda y cayó en los financieros.</w:t>
      </w:r>
    </w:p>
    <w:p w14:paraId="28EA1476"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La producción industrial en el cuarto trimestre se contrajo 0.8% a tasa trimestral, en comparación con el crecimiento de 0.5% observado en el trimestre previo. Esta caída provino de los tres principales rubros industriales: servicios públicos (- 2.1%), minería (- 0.9%) y manufacturas (- 0.6%), este último con una participación del 75% en el total. La evolución de la producción manufacturera en EE.UU. tuvo un comportamiento volátil durante el periodo afectado por condiciones financieras restrictivas y por disrupciones en sectores específicos como el automotriz. Tal fue el caso de la huelga ocurrida entre el 15 de septiembre y el 30 de octubre por parte del sindicato de trabajadores de la industria automotriz (UAW, por sus siglas en inglés) que provocó una caída en la producción mensual de </w:t>
      </w:r>
      <w:r w:rsidRPr="00A74179">
        <w:rPr>
          <w:rFonts w:ascii="Arial" w:hAnsi="Arial" w:cs="Arial"/>
          <w:sz w:val="18"/>
          <w:szCs w:val="18"/>
        </w:rPr>
        <w:lastRenderedPageBreak/>
        <w:t>vehículos y autopartes de 9.9% en octubre, seguido de un incremento de 7.4 y 1.6% en noviembre y diciembre, respectivamente, mismo que no fue suficiente para recuperar su nivel de producción de septiembre.</w:t>
      </w:r>
    </w:p>
    <w:p w14:paraId="5545C3BE"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Las presiones inflacionarias en EE.UU. continuaron descendiendo debido a la normalización de las cadenas de suministro y los menores precios de energéticos a nivel global. En específico, el ritmo de variación anual del Índice de Precios al Consumo se desaceleró de 3.7 a 3.4% entre los cierres del tercer y cuarto trimestre. El componente de energéticos restó 0.1 </w:t>
      </w:r>
      <w:proofErr w:type="spellStart"/>
      <w:r w:rsidRPr="00A74179">
        <w:rPr>
          <w:rFonts w:ascii="Arial" w:hAnsi="Arial" w:cs="Arial"/>
          <w:sz w:val="18"/>
          <w:szCs w:val="18"/>
        </w:rPr>
        <w:t>pp</w:t>
      </w:r>
      <w:proofErr w:type="spellEnd"/>
      <w:r w:rsidRPr="00A74179">
        <w:rPr>
          <w:rFonts w:ascii="Arial" w:hAnsi="Arial" w:cs="Arial"/>
          <w:sz w:val="18"/>
          <w:szCs w:val="18"/>
        </w:rPr>
        <w:t xml:space="preserve"> en diciembre, mientras que el componente de alimentos redujo su incidencia en la inflación anual de 0.5 a 0.4 </w:t>
      </w:r>
      <w:proofErr w:type="spellStart"/>
      <w:r w:rsidRPr="00A74179">
        <w:rPr>
          <w:rFonts w:ascii="Arial" w:hAnsi="Arial" w:cs="Arial"/>
          <w:sz w:val="18"/>
          <w:szCs w:val="18"/>
        </w:rPr>
        <w:t>pp</w:t>
      </w:r>
      <w:proofErr w:type="spellEnd"/>
      <w:r w:rsidRPr="00A74179">
        <w:rPr>
          <w:rFonts w:ascii="Arial" w:hAnsi="Arial" w:cs="Arial"/>
          <w:sz w:val="18"/>
          <w:szCs w:val="18"/>
        </w:rPr>
        <w:t xml:space="preserve"> en el mismo periodo, derivado de menores precios en el rubro de alimentos en el hogar como cereales, pan, lácteos, frutas y verduras. Asimismo, la inflación subyacente redujo su ritmo de crecimiento anual de 4.1 a 3.9% entre los cierres del tercer y cuarto trimestre. La incidencia de los servicios continuó en niveles altos con una disminución mínima en su contribución a la inflación general de 3.2 a 3.1 </w:t>
      </w:r>
      <w:proofErr w:type="spellStart"/>
      <w:r w:rsidRPr="00A74179">
        <w:rPr>
          <w:rFonts w:ascii="Arial" w:hAnsi="Arial" w:cs="Arial"/>
          <w:sz w:val="18"/>
          <w:szCs w:val="18"/>
        </w:rPr>
        <w:t>pp</w:t>
      </w:r>
      <w:proofErr w:type="spellEnd"/>
      <w:r w:rsidRPr="00A74179">
        <w:rPr>
          <w:rFonts w:ascii="Arial" w:hAnsi="Arial" w:cs="Arial"/>
          <w:sz w:val="18"/>
          <w:szCs w:val="18"/>
        </w:rPr>
        <w:t xml:space="preserve"> durante el periodo. Al interior, destacó la contribución del subcomponente de alojamiento, que aportó 2.1 </w:t>
      </w:r>
      <w:proofErr w:type="spellStart"/>
      <w:r w:rsidRPr="00A74179">
        <w:rPr>
          <w:rFonts w:ascii="Arial" w:hAnsi="Arial" w:cs="Arial"/>
          <w:sz w:val="18"/>
          <w:szCs w:val="18"/>
        </w:rPr>
        <w:t>pp</w:t>
      </w:r>
      <w:proofErr w:type="spellEnd"/>
      <w:r w:rsidRPr="00A74179">
        <w:rPr>
          <w:rFonts w:ascii="Arial" w:hAnsi="Arial" w:cs="Arial"/>
          <w:sz w:val="18"/>
          <w:szCs w:val="18"/>
        </w:rPr>
        <w:t xml:space="preserve"> a la inflación anual de diciembre. </w:t>
      </w:r>
    </w:p>
    <w:p w14:paraId="0DB50DFA"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Por otra parte, el rubro de bienes mantuvo una contribución a la inflación general anual cercana a cero durante todo el cuarto trimestre, como resultado de la normalización en las cadenas globales de valor a nivel mundial. Asimismo, la variación anual del deflactor implícito del gasto en consumo personal (PCE) se desaceleró de 3.4 a 2.6% entre septiembre y diciembre, mientras que el PCE subyacente redujo su ritmo de crecimiento anual de 3.6 a 2.9% en el mismo periodo, principalmente por el componente de servicios. Por su parte, de acuerdo con la Reserva Federal de Nueva York, la mediana de expectativas de inflación anual a doce meses se redujo de 3.7 a 3.0% durante el mismo periodo. Asimismo, las expectativas de mediano plazo, de tres años, se redujeron de 3.0 a 2.6%, mientras que la de cinco años pasaron de 2.8 a 2.5%, aunque todas aún por encima de un nivel consistente con el 2.0% objetivo de la FED.</w:t>
      </w:r>
    </w:p>
    <w:p w14:paraId="10619FD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Durante el cuarto trimestre del año, la actividad económica en la zona euro continuó mostrando un débil desempeño con respecto al trimestre previo. Persistió la pérdida de dinamismo en la demanda interna y el menor volumen de exportaciones con sus principales socios comerciales, en un entorno de desaceleración de la demanda externa. Además, influyó la postura monetaria restrictiva del BCE y su efecto negativo en la producción industrial de la región, en especial en Alemania. Así, en diciembre, los índices de gerentes de compras (PMI, por sus siglas en inglés) apuntaron a una continua desaceleración de la actividad económica, en particular en el sector de manufacturas, mientras que el de servicios mostró mayor resiliencia por la disminución de las presiones inflacionarias y el incremento de los salarios reales que favorece el poder adquisitivo de los hogares. </w:t>
      </w:r>
    </w:p>
    <w:p w14:paraId="6185DF4A"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Sin embargo, al cerrar el año, ambos indicadores oportunos se ubicaron en terreno de contracción en 44.4 y 48.8 puntos, respectivamente. Lo anterior se reflejó en la confianza empresarial de la industria manufacturera que se contrajo aún más con respecto a septiembre, mientras que la relacionada con los servicios registró cierto optimismo en diciembre (8.4 puntos), siendo éste el más alto desde abril 2023. Asimismo, se observó un repunte de las ventas al menudeo, las cuales reportaron un crecimiento real de 0.2% durante octubre-noviembre, por encima de la contracción de 0.8% registrada en el bimestre previo. Mientras que, si bien el índice de confianza del consumidor continuó sin recuperar su tendencia previa a la pandemia, éste registró en diciembre su mejor nivel en el año, con una mejora de 2.7 puntos respecto a septiembre. </w:t>
      </w:r>
    </w:p>
    <w:p w14:paraId="4CB4E9CA"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Por su parte, las presiones inflacionarias mantuvieron su tendencia decreciente, aunque aún por encima del objetivo del 2.0% del BCE. La inflación general anual se redujo de 4.3 a 2.9% entre los cierres del tercer y el cuarto trimestre, principalmente debido a la caída en los precios de los energéticos y la desaceleración del componente de los alimentos. Asimismo, la inflación subyacente mostró una reducción de 4.5 a 3.4% en su tasa anual, en el mismo periodo, por una disminución en los precios de bienes y de servicios, aunque estos últimos continuaron elevados debido a una mayor demanda en sectores restauranteros, hoteleros y recreativos.</w:t>
      </w:r>
    </w:p>
    <w:p w14:paraId="7F9DA511"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Durante el cuarto trimestre del año, el ritmo de la actividad económica en China se desaceleró a una tasa trimestral real de 1.0%, desde el 1.5% del trimestre previo, en línea con lo esperado por el consenso de analistas de Bloomberg al cierre del año. Este menor dinamismo se atribuyó principalmente a los menores niveles de inversión en el sector inmobiliario y los problemas de acceso al financiamiento que este sector enfrenta. </w:t>
      </w:r>
    </w:p>
    <w:p w14:paraId="70237858"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La construcción de edificios e inmuebles permaneció en contracción durante 2023, mientras que el índice adelantado de los precios de la vivienda continuó disminuyendo con respecto al periodo previo. Así, la tasa de crecimiento anual del PIB real de China fue de 5.2% en 2023, 0.2 </w:t>
      </w:r>
      <w:proofErr w:type="spellStart"/>
      <w:r w:rsidRPr="00A74179">
        <w:rPr>
          <w:rFonts w:ascii="Arial" w:hAnsi="Arial" w:cs="Arial"/>
          <w:sz w:val="18"/>
          <w:szCs w:val="18"/>
        </w:rPr>
        <w:t>pp</w:t>
      </w:r>
      <w:proofErr w:type="spellEnd"/>
      <w:r w:rsidRPr="00A74179">
        <w:rPr>
          <w:rFonts w:ascii="Arial" w:hAnsi="Arial" w:cs="Arial"/>
          <w:sz w:val="18"/>
          <w:szCs w:val="18"/>
        </w:rPr>
        <w:t xml:space="preserve"> por encima de la estimación oficial del gobierno. Por su parte, la debilidad de la demanda externa y las tensiones geopolíticas entre EE.UU. y China se </w:t>
      </w:r>
      <w:r w:rsidRPr="00A74179">
        <w:rPr>
          <w:rFonts w:ascii="Arial" w:hAnsi="Arial" w:cs="Arial"/>
          <w:sz w:val="18"/>
          <w:szCs w:val="18"/>
        </w:rPr>
        <w:lastRenderedPageBreak/>
        <w:t xml:space="preserve">reflejaron en una contracción en el volumen de exportaciones de 2.3% en el bimestre octubre-noviembre con respecto al bimestre previo, con base en las últimas cifras disponibles a octubre, aunque en el acumulado del año registró un incremento de 13.5%. </w:t>
      </w:r>
    </w:p>
    <w:p w14:paraId="174B12A3"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Por su parte, el crecimiento de la producción industrial se aceleró a 1.7% a tasa trimestral, ligeramente por arriba del 1.4% del periodo previo. Mientras tanto, las ventas al menudeo apuntaron a un nivel de consumo más moderado de bienes con respecto a servicios durante el cuarto trimestre. En este contexto, por tercer mes consecutivo en el trimestre se registró una deflación, de 0.3% en diciembre, derivado de la ralentización de su actividad económica. Por lo anterior, el gobierno chino implementó nuevas medidas de apoyo durante el cuarto trimestre de 2023. Entre ellas, se llevó a cabo una emisión de deuda soberana por 137 mil millones de dólares para incrementar el gasto gubernamental en infraestructura, una inyección de 200 mil millones de dólares de liquidez al sistema financiero por parte del Banco Popular de China, a través de su línea de crédito de mediano plazo, mientras que las tasas de referencia permanecieron en mínimos históricos para impulsar su economía.</w:t>
      </w:r>
    </w:p>
    <w:p w14:paraId="20CFA0C2"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2023, los precios de las materias primas cayeron con respecto a los niveles del año previo, históricamente altos, ante los efectos de las políticas monetarias restrictivas y la desaceleración del crecimiento económico global. En particular, al cierre del cuarto trimestre de 2023, el índice de precios de materias primas de Bloomberg (BCOM) presentó una disminución de 5.9% en comparación con el cierre del periodo previo, impulsada principalmente por la caída en los precios de los energéticos. No obstante, su comportamiento también registró presiones al alza asociadas a los conflictos geopolíticos, las restricciones comerciales y el fenómeno climatológico de “El Niño”.</w:t>
      </w:r>
    </w:p>
    <w:p w14:paraId="18FCF099"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Durante el cuarto trimestre de 2023, las principales economías avanzadas mantuvieron sin cambios sus tasas de referencia, lo que fortaleció la expectativa del fin en el ciclo de alza de tasas a nivel global. En EE.UU., los avances en la reducción en la inflación general, así como en la subyacente, llevó a la FED a mantener sin cambios su tasa de referencia con un rango de 5.25-5.50% durante sus dos reuniones del 1 de noviembre y el 13 de diciembre. Adicionalmente, continuó la reducción de su hoja de balance, situándose en 7.7 billones de dólares al 31 de diciembre, una disminución de 0.3 billones de dólares respecto al cierre del trimestre previo y de 0.8 billones con respecto al inicio del año. </w:t>
      </w:r>
    </w:p>
    <w:p w14:paraId="30E4EDA0"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la última conferencia de prensa de diciembre, el presidente de la FED, Jerome Powell, reconoció que la tasa de inflación se encuentra en una clara trayectoria descendente y consideró que probablemente se encuentran en o cerca de la tasa máxima del ciclo monetario. Lo anterior se reflejó en sus más recientes proyecciones de diciembre, donde la mayoría de los miembros del Comité de Mercado Abierto estimó una reducción de 75 pb para sus proyecciones de tasa de referencia en 2024, situando la mediana de la tasa de referencia en 4.6%. </w:t>
      </w:r>
    </w:p>
    <w:p w14:paraId="26E984E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No obstante, hacia el cierre del cuarto trimestre de 2023, el mercado de futuros implicó una reducción de tasa más acelerada en 150 pb durante 2024, esperando el primer recorte en la segunda reunión del año en marzo. Por su parte, el BCE decidió mantener las tasas de interés oficiales sin cambio durante el cuarto trimestre de 2023, debido a la desaceleración de las presiones inflacionarias. Por ello, la tasa de depósitos se ubicó en 4.0%, la de refinanciamiento en 4.50% y la de crédito marginal en 4.75% al cierre del trimestre. </w:t>
      </w:r>
    </w:p>
    <w:p w14:paraId="205085C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este contexto, la presidenta del BCE, Christine Lagarde, mencionó en su última conferencia de prensa de diciembre que el banco central realizó las acciones suficientes para que la inflación alcance de manera oportuna su nivel deseado. Esto llevó al mercado a asumir una reducción en la tasa de interés de referencia de 150 pb para el 2024, siendo la reunión de abril donde se esperaría el primer recorte. </w:t>
      </w:r>
    </w:p>
    <w:p w14:paraId="069942CE"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Asimismo, continuó la reducción en la hoja de balance del BCE y se anunciaron nuevos cambios en el programa de compras de emergencia frente a la pandemia (PEPP, por sus siglas en inglés). Se prevé reinvertir el principal de los valores adquiridos que vayan venciendo durante el primer trimestre de 2024 y comenzar a reducir, a partir del segundo trimestre, la cartera del PEPP en 7.5 miles de millones de euros mensuales en promedio, con el fin de terminar las reinversiones a finales de 2024. </w:t>
      </w:r>
    </w:p>
    <w:p w14:paraId="0290D748"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el caso de las economías emergentes, varios bancos centrales continuaron relajando su ciclo monetario mientras otros mantuvieron sus tasas de política durante el cuarto trimestre de 2023. Esto como resultado de la implementación anticipada de una política monetaria restrictiva con respecto a las economías avanzadas, aunado a la tendencia decreciente de las presiones inflacionarias, el anclaje de las expectativas de inflación y en algunos casos para estimular su actividad económica. En específico, Chile, Brasil, Perú, Uruguay, Colombia y Polonia redujeron sus tasas de referencia en sus últimas reuniones, con disminuciones acumuladas de 125, 100, 75, 75, </w:t>
      </w:r>
      <w:r w:rsidRPr="00A74179">
        <w:rPr>
          <w:rFonts w:ascii="Arial" w:hAnsi="Arial" w:cs="Arial"/>
          <w:sz w:val="18"/>
          <w:szCs w:val="18"/>
        </w:rPr>
        <w:lastRenderedPageBreak/>
        <w:t>25 y 25 pb, respectivamente, durante el cuarto trimestre, mientras que México mantuvo sin cambios su tasa de referencia en el mismo periodo.</w:t>
      </w:r>
    </w:p>
    <w:p w14:paraId="4D08157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A principios del cuarto trimestre de 2023, durante octubre, se observaron episodios de volatilidad y de aversión al riesgo asociados a la expectativa de una postura monetaria con tasas más altas por un periodo prolongado, las tensiones geopolíticas en Medio Oriente y la solidez de algunos indicadores económicos en EE.UU. y China. Como resultado, el índice de volatilidad implícita (VIX) en EE.UU. se ubicó el 20 de octubre de 2023 en 21 puntos, nivel no observado desde marzo del mismo año. Mientras que, el 19 de octubre, los rendimientos de los Bonos del Tesoro en EE. UU. De 2, 5 y 10 años alcanzaron niveles máximos no vistos desde 2007, ubicándose en 5.2, 4.9 y 5.0% respectivamente. </w:t>
      </w:r>
    </w:p>
    <w:p w14:paraId="4FCF5D6D"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Por su parte, el índice S&amp;P 500 registró su peor desempeño para el mes de octubre desde 2018 y el dólar, medido por el DXY, alcanzó su nivel más alto del año en este mes con una apreciación de 7.2% con respecto a su nivel más bajo en julio del mismo año. Sin embargo, durante noviembre y diciembre de 2023, la volatilidad y los incrementos significativos en las tasas de mercado, se fueron disipando al aumentar el optimismo de que la FED comenzaría a revertir su ciclo monetario restrictivo en 2024, luego de darse a conocer que la inflación continuó con una trayectoria descendente, los mercados laborales de economías avanzadas mostraban un menor apretamiento, así como una disminución de los temores de un mayor conflicto en Medio Oriente. </w:t>
      </w:r>
    </w:p>
    <w:p w14:paraId="708C16F1"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Como resultado, el índice VIX cerró el año en 5.1 puntos, por debajo del nivel observado al cierre del tercer trimestre, mientras que las tasas de interés en EE.UU. mostraron reducciones a lo largo de toda la curva de rendimientos, en particular, la tasa a 10 años que se ubicó en 3.9%, reflejando una disminución de 69 pb en relación con el cierre del trimestre previo. Asimismo, el S&amp;P 500 aumentó 11%, en el mismo periodo, alcanzando un máximo del año el 28 de diciembre y el dólar, medido por el DXY, se depreció 4.6%, mientras que se observó una apreciación del euro de 4.4% con respecto al cierre del trimestre previo. </w:t>
      </w:r>
    </w:p>
    <w:p w14:paraId="760700D9"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Por su parte, los mercados accionarios de economías emergentes reportaron un aumento de 7.4% en el mismo periodo, de acuerdo con el índice bursátil MSCI, en un entorno de mayor apetito por riesgo. Adicionalmente, el riesgo país de economías emergentes, medido por el EMBI+ disminuyó 48 pb durante el periodo referido, mientras que el flujo hacia estas economías presentó una entrada de capitales de 4.6%, particularmente en instrumentos de deuda. Finalmente, se observó una apreciación de 4.3% en el índice MSCI de monedas emergentes con respecto al cierre del trimestre previo, igualmente apoyado por menor precepción de riesgo.</w:t>
      </w:r>
    </w:p>
    <w:p w14:paraId="697629A8"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el cuarto trimestre de 2023, la economía mexicana continuó creciendo y mostró fortaleza a pesar de diversos desafíos provenientes del sector externo. El impulso de la demanda interna continuó en niveles elevados, aunque el ritmo de crecimiento se moderó respecto al trimestre anterior. No obstante, el crecimiento de la inversión pública y privada aumentó y permitió alcanzar niveles históricamente altos. En su interior, destacó la inversión privada, la cual fue impulsada por los rubros de maquinaria y construcción, y que creció a una tasa anual superior al 20%. </w:t>
      </w:r>
    </w:p>
    <w:p w14:paraId="43C7384E"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El desempeño del sector externo evidenció los retos coyunturales en EE.UU., entre las que se encontraron el cierre de cruces fronterizos y la inspección de camiones en el límite con México que afectó el comercio de mercancías entre ambos países. A lo anterior se sumó la huelga automotriz entre el sindicato de trabajadores de plantas automotrices de EE.UU. y las empresas General Motors, Ford Motors y </w:t>
      </w:r>
      <w:proofErr w:type="spellStart"/>
      <w:r w:rsidRPr="00A74179">
        <w:rPr>
          <w:rFonts w:ascii="Arial" w:hAnsi="Arial" w:cs="Arial"/>
          <w:sz w:val="18"/>
          <w:szCs w:val="18"/>
        </w:rPr>
        <w:t>Stellantis</w:t>
      </w:r>
      <w:proofErr w:type="spellEnd"/>
      <w:r w:rsidRPr="00A74179">
        <w:rPr>
          <w:rFonts w:ascii="Arial" w:hAnsi="Arial" w:cs="Arial"/>
          <w:sz w:val="18"/>
          <w:szCs w:val="18"/>
        </w:rPr>
        <w:t xml:space="preserve">, en los meses de septiembre y octubre de 2023, con repercusiones principales en la industria mexicana de autopartes. </w:t>
      </w:r>
    </w:p>
    <w:p w14:paraId="2B5F2878"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A pesar de lo anterior, el intercambio comercial con el resto del mundo fue positivo, el turismo continuó creciendo y México recibió flujos elevados de IED, en un ambiente en el que el indicador global de confianza empresarial se encontró en niveles récord. Finalmente, en el sistema financiero, la banca se mantuvo con niveles sanos de capitalización, mientras que los flujos comerciales y financieros hacia el país continuaron ingresando al punto de que las reservas internacionales alcanzaron máximos históricos. En dicho contexto, con base en la estimación oportuna del PIB para el cuarto trimestre de 2023, la actividad económica registró un crecimiento de 0.1% trimestral, con cifras ajustadas por estacionalidad. </w:t>
      </w:r>
    </w:p>
    <w:p w14:paraId="2D7290EA"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Si bien, dicho aumento se moderó respecto al de los trimestres anteriores, se registraron nueve trimestres de alza trimestral continua. Al interior, las actividades primarias registraron una disminución de 1.1% trimestral, mientras que los servicios aumentaron 0.1% y la producción industrial no registró cambio respecto al periodo anterior. De acuerdo con el Indicador Global de la Actividad Económica (IGAE), entre octubre y noviembre de 2023, la economía mexicana decreció 0.1% bimestral con cifras ajustadas por estacionalidad. Lo anterior se explicó por la caída de la </w:t>
      </w:r>
      <w:r w:rsidRPr="00A74179">
        <w:rPr>
          <w:rFonts w:ascii="Arial" w:hAnsi="Arial" w:cs="Arial"/>
          <w:sz w:val="18"/>
          <w:szCs w:val="18"/>
        </w:rPr>
        <w:lastRenderedPageBreak/>
        <w:t xml:space="preserve">agricultura, la cual estuvo afectada por las condiciones climatológicas en el país, y que no pudo ser compensada con los incrementos de la industria y los servicios. </w:t>
      </w:r>
    </w:p>
    <w:p w14:paraId="48E2878B"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Estas últimas actividades tuvieron un desempeño positivo por la demanda internacional que aumentó la producción de algunas manufacturas de exportación, mientras que la capacidad productiva benefició a los servicios relacionados con la infraestructura, así como en el sector de la construcción. En particular, el desempeño bimestral de las actividades fue el siguiente, con cifras ajustadas por estacionalidad: </w:t>
      </w:r>
    </w:p>
    <w:p w14:paraId="3576B07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sym w:font="Symbol" w:char="F0B7"/>
      </w:r>
      <w:r w:rsidRPr="00A74179">
        <w:rPr>
          <w:rFonts w:ascii="Arial" w:hAnsi="Arial" w:cs="Arial"/>
          <w:sz w:val="18"/>
          <w:szCs w:val="18"/>
        </w:rPr>
        <w:t xml:space="preserve"> Las actividades primarias retrocedieron 2.6%, luego de presentar alzas en los últimos cuatro bimestres. Lo anterior fue resultado de la afectación de las sequías en algunos cultivos, las cuales se acentuaron en un mayor número de municipios desde septiembre de 2023. </w:t>
      </w:r>
    </w:p>
    <w:p w14:paraId="1795C04D"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sym w:font="Symbol" w:char="F0B7"/>
      </w:r>
      <w:r w:rsidRPr="00A74179">
        <w:rPr>
          <w:rFonts w:ascii="Arial" w:hAnsi="Arial" w:cs="Arial"/>
          <w:sz w:val="18"/>
          <w:szCs w:val="18"/>
        </w:rPr>
        <w:t xml:space="preserve"> La producción industrial aumentó 0.1%, de manera que acumuló cuatro bimestres de crecimiento continuo, derivado de los incrementos de la construcción y las manufacturas, lo cual compensó el retroceso de la minería y la generación de energía. Con cifras ajustadas por estacionalidad, se describe a continuación el comportamiento sectorial del bimestre octubre a noviembre: </w:t>
      </w:r>
    </w:p>
    <w:p w14:paraId="626FF25E" w14:textId="77777777" w:rsidR="00A74179" w:rsidRPr="00A74179" w:rsidRDefault="00A74179" w:rsidP="00A74179">
      <w:pPr>
        <w:ind w:left="567"/>
        <w:jc w:val="both"/>
        <w:rPr>
          <w:rFonts w:ascii="Arial" w:hAnsi="Arial" w:cs="Arial"/>
          <w:sz w:val="18"/>
          <w:szCs w:val="18"/>
        </w:rPr>
      </w:pPr>
      <w:r w:rsidRPr="00A74179">
        <w:rPr>
          <w:rFonts w:ascii="Arial" w:hAnsi="Arial" w:cs="Arial"/>
          <w:sz w:val="18"/>
          <w:szCs w:val="18"/>
        </w:rPr>
        <w:t xml:space="preserve">o La minería se contrajo 0.6% por los servicios relacionados al sector (- 2.5%) derivado, principalmente, de la perforación de pozos petroleros relacionados con las obras de plantas </w:t>
      </w:r>
      <w:proofErr w:type="spellStart"/>
      <w:r w:rsidRPr="00A74179">
        <w:rPr>
          <w:rFonts w:ascii="Arial" w:hAnsi="Arial" w:cs="Arial"/>
          <w:sz w:val="18"/>
          <w:szCs w:val="18"/>
        </w:rPr>
        <w:t>coquizadoras</w:t>
      </w:r>
      <w:proofErr w:type="spellEnd"/>
      <w:r w:rsidRPr="00A74179">
        <w:rPr>
          <w:rFonts w:ascii="Arial" w:hAnsi="Arial" w:cs="Arial"/>
          <w:sz w:val="18"/>
          <w:szCs w:val="18"/>
        </w:rPr>
        <w:t>. En cuanto a los minerales no metálicos y la extracción de petróleo y gas, éstos retrocedieron en 0.4% cada uno.</w:t>
      </w:r>
    </w:p>
    <w:p w14:paraId="711E6F6A" w14:textId="77777777" w:rsidR="00A74179" w:rsidRPr="00A74179" w:rsidRDefault="00A74179" w:rsidP="00A74179">
      <w:pPr>
        <w:ind w:left="567"/>
        <w:jc w:val="both"/>
        <w:rPr>
          <w:rFonts w:ascii="Arial" w:hAnsi="Arial" w:cs="Arial"/>
          <w:sz w:val="18"/>
          <w:szCs w:val="18"/>
        </w:rPr>
      </w:pPr>
      <w:r w:rsidRPr="00A74179">
        <w:rPr>
          <w:rFonts w:ascii="Arial" w:hAnsi="Arial" w:cs="Arial"/>
          <w:sz w:val="18"/>
          <w:szCs w:val="18"/>
        </w:rPr>
        <w:t xml:space="preserve">o Después de dos bimestres de crecimientos, la generación de electricidad, agua y suministro de gas disminuyó 0.3%, explicado principalmente por el precio internacional del gas en octubre que incrementó los costos de producción, así como la reducción de la cantidad de agua en las presas que impactó la generación de energía hidráulica y la menor demanda por electricidad en Guerrero tras el huracán Otis. </w:t>
      </w:r>
    </w:p>
    <w:p w14:paraId="582CD750" w14:textId="77777777" w:rsidR="00A74179" w:rsidRPr="00A74179" w:rsidRDefault="00A74179" w:rsidP="00A74179">
      <w:pPr>
        <w:ind w:left="567"/>
        <w:jc w:val="both"/>
        <w:rPr>
          <w:rFonts w:ascii="Arial" w:hAnsi="Arial" w:cs="Arial"/>
          <w:sz w:val="18"/>
          <w:szCs w:val="18"/>
        </w:rPr>
      </w:pPr>
      <w:r w:rsidRPr="00A74179">
        <w:rPr>
          <w:rFonts w:ascii="Arial" w:hAnsi="Arial" w:cs="Arial"/>
          <w:sz w:val="18"/>
          <w:szCs w:val="18"/>
        </w:rPr>
        <w:t xml:space="preserve">o Beneficiada por una baja inflación de materiales para el mercado inmobiliario respecto a años anteriores y el aumento del crédito a la vivienda, la construcción creció 1.0% derivado del incremento de la edificación, cuyo crecimiento de 4.7% fue el más alto desde 2020. Los trabajos especializados, al aumentar 2.7% en el bimestre, acumularon tres bimestres de alza continua. La base de comparación retadora afectó a las obras de ingeniería civil y la obra pesada, que cayeron 9.3%. </w:t>
      </w:r>
    </w:p>
    <w:p w14:paraId="6139A47A" w14:textId="77777777" w:rsidR="00A74179" w:rsidRPr="00A74179" w:rsidRDefault="00A74179" w:rsidP="00A74179">
      <w:pPr>
        <w:ind w:left="567"/>
        <w:jc w:val="both"/>
        <w:rPr>
          <w:rFonts w:ascii="Arial" w:hAnsi="Arial" w:cs="Arial"/>
          <w:sz w:val="18"/>
          <w:szCs w:val="18"/>
        </w:rPr>
      </w:pPr>
      <w:r w:rsidRPr="00A74179">
        <w:rPr>
          <w:rFonts w:ascii="Arial" w:hAnsi="Arial" w:cs="Arial"/>
          <w:sz w:val="18"/>
          <w:szCs w:val="18"/>
        </w:rPr>
        <w:t xml:space="preserve">o Las manufacturas aumentaron 0.1%, principalmente en aquellas cuya producción tiene como destino el mercado internacional. Así, 12 de 21 industrias crecieron, como la fabricación de maquinaria y equipo (1.0%), el equipo de computación y otros equipos electrónicos (3.5%) y, la fabricación de equipo de transporte (0.8%). Por otro lado, cayeron algunas industrias con destino el mercado nacional, como la alimentaria (- 0.2%), fabricación de insumos textiles (- 3.5%) y productos de cuero y piel (- 2.5%). </w:t>
      </w:r>
    </w:p>
    <w:p w14:paraId="57E050BE"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sym w:font="Symbol" w:char="F0B7"/>
      </w:r>
      <w:r w:rsidRPr="00A74179">
        <w:rPr>
          <w:rFonts w:ascii="Arial" w:hAnsi="Arial" w:cs="Arial"/>
          <w:sz w:val="18"/>
          <w:szCs w:val="18"/>
        </w:rPr>
        <w:t xml:space="preserve"> Los servicios crecieron 0.1%, prolongando la racha positiva iniciada desde finales de 2021. Lo anterior se derivó del incremento de 8 de los 14 subsectores, principalmente aquellos relacionados a los mayores niveles de inversión en el país. En particular, su comportamiento bimestral fue el siguiente, con cifras ajustadas por estacionalidad: </w:t>
      </w:r>
    </w:p>
    <w:p w14:paraId="66E47A70" w14:textId="77777777" w:rsidR="00A74179" w:rsidRPr="00A74179" w:rsidRDefault="00A74179" w:rsidP="00A74179">
      <w:pPr>
        <w:ind w:left="567"/>
        <w:jc w:val="both"/>
        <w:rPr>
          <w:rFonts w:ascii="Arial" w:hAnsi="Arial" w:cs="Arial"/>
          <w:sz w:val="18"/>
          <w:szCs w:val="18"/>
        </w:rPr>
      </w:pPr>
      <w:r w:rsidRPr="00A74179">
        <w:rPr>
          <w:rFonts w:ascii="Arial" w:hAnsi="Arial" w:cs="Arial"/>
          <w:sz w:val="18"/>
          <w:szCs w:val="18"/>
        </w:rPr>
        <w:t xml:space="preserve">o Los servicios que aumentaron fueron: transportes, correos y almacenamiento (0.2%); inmuebles y bienes de </w:t>
      </w:r>
      <w:proofErr w:type="gramStart"/>
      <w:r w:rsidRPr="00A74179">
        <w:rPr>
          <w:rFonts w:ascii="Arial" w:hAnsi="Arial" w:cs="Arial"/>
          <w:sz w:val="18"/>
          <w:szCs w:val="18"/>
        </w:rPr>
        <w:t>alquiler(</w:t>
      </w:r>
      <w:proofErr w:type="gramEnd"/>
      <w:r w:rsidRPr="00A74179">
        <w:rPr>
          <w:rFonts w:ascii="Arial" w:hAnsi="Arial" w:cs="Arial"/>
          <w:sz w:val="18"/>
          <w:szCs w:val="18"/>
        </w:rPr>
        <w:t xml:space="preserve">0.3%); profesionales, científicos y técnicos (0.3%); actividades del gobierno (0.2%); apoyo a los negocios (4.2%); servicios educativos (0.5%); salud y asistencia social (1.0%); y otros servicios (0.2%). </w:t>
      </w:r>
    </w:p>
    <w:p w14:paraId="58F66A3F" w14:textId="77777777" w:rsidR="00A74179" w:rsidRPr="00A74179" w:rsidRDefault="00A74179" w:rsidP="00A74179">
      <w:pPr>
        <w:ind w:left="567"/>
        <w:jc w:val="both"/>
        <w:rPr>
          <w:rFonts w:ascii="Arial" w:hAnsi="Arial" w:cs="Arial"/>
          <w:sz w:val="18"/>
          <w:szCs w:val="18"/>
        </w:rPr>
      </w:pPr>
      <w:r w:rsidRPr="00A74179">
        <w:rPr>
          <w:rFonts w:ascii="Arial" w:hAnsi="Arial" w:cs="Arial"/>
          <w:sz w:val="18"/>
          <w:szCs w:val="18"/>
        </w:rPr>
        <w:t>o Dentro de los servicios que presentaron caídas se encontraron: el comercio al por mayor y menor (- 0.2 y - 0.5%, respectivamente); información en medios masivos (- 2.3%); financieros y de seguros (- 0.6%); esparcimiento, culturales y deportivos (- 2.6%); y alojamiento temporal y preparación de alimentos (- 0.3%).</w:t>
      </w:r>
    </w:p>
    <w:p w14:paraId="20852461"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cuanto al PIB por el lado del gasto, en el tercer trimestre de 2023, la demanda agregada registró un crecimiento nulo con respecto al trimestre anterior, lo que se explicó por la caída de las exportaciones y el menor ritmo de aumento de la inversión, que no se compensó con el crecimiento del consumo. Adicionalmente, por el lado de la oferta agregada, las importaciones disminuyeron por primera vez en el año. </w:t>
      </w:r>
    </w:p>
    <w:p w14:paraId="2F5199B2"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particular, la reducción de 3.5% trimestral de las exportaciones de bienes y servicios, con cifras ajustadas por estacionalidad, obedeció principalmente al componente no petrolero, en el contexto de la apreciación del peso respecto al dólar estadounidense. Por su parte, el aumento de 4.4% trimestral de la inversión, fue menor que el trimestre previo por la inversión privada, la cual moderó su ritmo luego de fuertes alzas en periodos anteriores. </w:t>
      </w:r>
      <w:r w:rsidRPr="00A74179">
        <w:rPr>
          <w:rFonts w:ascii="Arial" w:hAnsi="Arial" w:cs="Arial"/>
          <w:sz w:val="18"/>
          <w:szCs w:val="18"/>
        </w:rPr>
        <w:lastRenderedPageBreak/>
        <w:t xml:space="preserve">Cabe destacar que la inversión como porcentaje del PIB ascendió a 24.7%, el cual fue el nivel porcentual más alto alcanzado desde 2016. </w:t>
      </w:r>
    </w:p>
    <w:p w14:paraId="5F8616A4"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Los aumentos de la masa salarial y los altos niveles de confianza del consumidor permitieron que el consumo se acelerara trimestralmente y creciera 1.1%, principalmente por el rubro de consumo privado. Por otro lado, la reducción trimestral de 2.3% de las importaciones de bienes y servicios obedeció a los bienes intermedios, particularmente los relacionados con el equipo eléctrico y electrónico, ante una menor demanda externa que repercutió en las importaciones de insumos para la producción nacional. Respecto a los indicadores mensuales de la demanda nacional, el dato más reciente para octubre del consumo privado cayó 0.3% mensual, con cifras ajustadas por estacionalidad. </w:t>
      </w:r>
    </w:p>
    <w:p w14:paraId="71375935"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Lo anterior se explicó por el decremento de los bienes importados en 1.6% mensual, luego de alcanzar un nivel máximo histórico en el mes anterior. En su interior, retrocedieron las mercancías duraderas y </w:t>
      </w:r>
      <w:proofErr w:type="spellStart"/>
      <w:r w:rsidRPr="00A74179">
        <w:rPr>
          <w:rFonts w:ascii="Arial" w:hAnsi="Arial" w:cs="Arial"/>
          <w:sz w:val="18"/>
          <w:szCs w:val="18"/>
        </w:rPr>
        <w:t>semiduraderas</w:t>
      </w:r>
      <w:proofErr w:type="spellEnd"/>
      <w:r w:rsidRPr="00A74179">
        <w:rPr>
          <w:rFonts w:ascii="Arial" w:hAnsi="Arial" w:cs="Arial"/>
          <w:sz w:val="18"/>
          <w:szCs w:val="18"/>
        </w:rPr>
        <w:t xml:space="preserve">, mientras que los bienes importados esenciales hilaron cuatro meses al alza. Adicionalmente, si bien los servicios nacionales disminuyeron en 0.7% mensual, su nivel continúa dentro de los más altos desde que se tiene registro. A la par, los bienes nacionales aumentaron en 0.4% mensual por las alzas de los bienes duraderos y </w:t>
      </w:r>
      <w:proofErr w:type="spellStart"/>
      <w:r w:rsidRPr="00A74179">
        <w:rPr>
          <w:rFonts w:ascii="Arial" w:hAnsi="Arial" w:cs="Arial"/>
          <w:sz w:val="18"/>
          <w:szCs w:val="18"/>
        </w:rPr>
        <w:t>semiduraderos</w:t>
      </w:r>
      <w:proofErr w:type="spellEnd"/>
      <w:r w:rsidRPr="00A74179">
        <w:rPr>
          <w:rFonts w:ascii="Arial" w:hAnsi="Arial" w:cs="Arial"/>
          <w:sz w:val="18"/>
          <w:szCs w:val="18"/>
        </w:rPr>
        <w:t>.</w:t>
      </w:r>
    </w:p>
    <w:p w14:paraId="366D3F75"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Referente a la cifra más reciente de la inversión fija bruta, en octubre se registró un alza mensual de 1.9%, con cifras ajustadas por estacionalidad. Con ello, se recuperó el nivel previo luego de su caída en septiembre. Lo anterior reflejó los altos niveles de la confianza empresarial, así como las inversiones en infraestructura por parte del sector público y la relocalización de cadenas productivas del sector privado. </w:t>
      </w:r>
    </w:p>
    <w:p w14:paraId="5B359B6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su interior, la construcción aumentó en 4.0% mensual, derivado del alza de la construcción residencial en 11.3% —el mayor aumento desde abril de 2015, sin considerar 2020— y la no residencial en 1.6%. Por su parte, la maquinaria y equipo importada decreció en 0.5% de septiembre a octubre y la de origen nacional en 1.7% en el mismo periodo, siendo que en ambos casos el equipo de transporte fue el menos afectado.</w:t>
      </w:r>
    </w:p>
    <w:p w14:paraId="2C660888"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Por sectores económicos, en el cuarto trimestre de 2023, la industria presentó el mayor dinamismo en el empleo con un crecimiento trimestral de 179 mil personas ocupadas. En su interior, destacó el aumento de las manufacturas (131 mil) y la construcción (46 mil). Por su parte, si bien los servicios disminuyeron su personal ocupado en 120 mil personas, algunos servicios aumentaron como servicios sociales (78 mil), transporte, correo y almacenamiento (61 mil), gobierno y organismos internacionales (25 mil) y restaurantes y servicios de alojamiento (24 mil). Asimismo, las actividades primarias, que fueron afectadas por la escasez de trabajadores y por factores climáticos adversos, disminuyeron en 379 mil personas durante el cuarto trimestre. </w:t>
      </w:r>
    </w:p>
    <w:p w14:paraId="0C3701D7"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Con el incremento en el nivel de ocupación, la tasa de participación laboral registró un promedio de 60.4% en el cuarto trimestre, con lo que en el promedio del año se alcanzó la mayor tasa desde 2013. Lo anterior se explicó por el aumento de la población económicamente activa, particularmente de las mujeres, debido a las mejores condiciones laborales, lo cual también condujo a que la tasa de participación promedio de 2023 de ese segmento alcanzara un nuevo máximo desde que inició el registro estadístico en 2005 (46.2%). Por otro lado, en el cuarto trimestre de 2023, la tasa de informalidad laboral se ubicó en un promedio de 54.6%, siendo inferior en 0.5 </w:t>
      </w:r>
      <w:proofErr w:type="spellStart"/>
      <w:r w:rsidRPr="00A74179">
        <w:rPr>
          <w:rFonts w:ascii="Arial" w:hAnsi="Arial" w:cs="Arial"/>
          <w:sz w:val="18"/>
          <w:szCs w:val="18"/>
        </w:rPr>
        <w:t>pp</w:t>
      </w:r>
      <w:proofErr w:type="spellEnd"/>
      <w:r w:rsidRPr="00A74179">
        <w:rPr>
          <w:rFonts w:ascii="Arial" w:hAnsi="Arial" w:cs="Arial"/>
          <w:sz w:val="18"/>
          <w:szCs w:val="18"/>
        </w:rPr>
        <w:t xml:space="preserve"> al trimestre anterior, con lo que consolidó su tendencia a la baja. A su vez, la tasa de desocupación registró un promedio de 2.7%, con lo cual en 2023 se ubicó en el nivel más bajo desde que se tiene registro (2.8%). </w:t>
      </w:r>
    </w:p>
    <w:p w14:paraId="167A16DB"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su interior, la mayor reducción en la población desocupada se observó en el grupo de edad de 25 a 44 años (- 99 mil), seguido de 15 a 24 años (- 67 mil) y de 45 a 64 años (- 25 mil). Además, la población con un nivel de instrucción medio superior y superior se redujo en 114 mil respecto al trimestre anterior, lo cual fue superior a la caída trimestral de la población con hasta seis años de escolaridad (- 17 mil). Finalmente, la población </w:t>
      </w:r>
      <w:proofErr w:type="spellStart"/>
      <w:r w:rsidRPr="00A74179">
        <w:rPr>
          <w:rFonts w:ascii="Arial" w:hAnsi="Arial" w:cs="Arial"/>
          <w:sz w:val="18"/>
          <w:szCs w:val="18"/>
        </w:rPr>
        <w:t>subocupada</w:t>
      </w:r>
      <w:proofErr w:type="spellEnd"/>
      <w:r w:rsidRPr="00A74179">
        <w:rPr>
          <w:rFonts w:ascii="Arial" w:hAnsi="Arial" w:cs="Arial"/>
          <w:sz w:val="18"/>
          <w:szCs w:val="18"/>
        </w:rPr>
        <w:t xml:space="preserve"> disminuyó en 114 mil personas respecto al trimestre anterior, de tal manera que la tasa de subocupación promedio en el trimestre fue de 7.9%, inferior a los dos trimestres anteriores. En cuanto a la población disponible para trabajar, ésta se redujo respecto al trimestre anterior en 25 mil personas, principalmente por la población que considera que hay más posibilidades para encontrar empleo. Con relación a los empleos reportados por el IMSS, a diciembre de 2023 se registraron 651 mil nuevas plazas, lo cual se encontró por arriba de su promedio histórico (631 mil) por tercer año consecutivo. </w:t>
      </w:r>
    </w:p>
    <w:p w14:paraId="715A2050"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Además, con cifras ajustadas por estacionalidad, en diciembre de 2023 los empleos aumentaron en 124 mil respecto a septiembre del mismo año derivado del incremento de las plazas permanentes en más de 90 mil. </w:t>
      </w:r>
      <w:r w:rsidRPr="00A74179">
        <w:rPr>
          <w:rFonts w:ascii="Arial" w:hAnsi="Arial" w:cs="Arial"/>
          <w:sz w:val="18"/>
          <w:szCs w:val="18"/>
        </w:rPr>
        <w:lastRenderedPageBreak/>
        <w:t xml:space="preserve">Mientras tanto, los empleos eventuales aumentaron en 7 mil durante el mismo periodo, principalmente en el sector de la construcción. Por sectores económicos, el crecimiento de los empleos a diciembre de 2023 se observó en el comercio (173 mil), los servicios de empresas y hogares (144 mil), la construcción (136 mil), el transporte (90 mil), las manufacturas (72 mil), los servicios sociales (48 mil) y electricidad (2 mil). Por su parte, el sector agropecuario y la industria extractiva concentraron los retrocesos de 10 mil y 4 mil, respectivamente. En cuanto al empleo regional, con datos del IMSS, al cierre de 2023, 29 estados registraron crecimientos anuales. </w:t>
      </w:r>
    </w:p>
    <w:p w14:paraId="12724793"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Entre éstos, destacaron los aumentos en la Ciudad de México (79 mil), Nuevo León (75 mil), Estado de México (64 mil), Jalisco (62 mil) y Guanajuato (43 mil), los cuales concentraron el 50% del total de las plazas. Por otra parte, disminuyó anualmente el empleo en Guerrero (- 3 mil) debido al impacto del huracán Otis; en Tabasco (- 2 mil) derivado de una menor contratación en la construcción de la refinería de Dos Bocas; y en Durango (- 230) por una menor demanda de empleos en el sector de las manufacturas. En cuanto a los salarios reales promedio registrados en el IMSS, éstos continuaron su racha positiva y crecieron 6.0% durante el cuarto trimestre, de manera que registraron 24 trimestres consecutivos de crecimientos. </w:t>
      </w:r>
    </w:p>
    <w:p w14:paraId="713F3DE6"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Los mayores aumentos se dieron en los sectores de construcción (10.3%), agricultura (10.1%), manufacturas (6.9%) y los servicios para empresas y hogares (6.2%). Por regiones, los salarios del IMSS tuvieron el mayor incremento real anual del trimestre en el norte (6.9%), seguido del sur (5.9%), y el centro (5.4%). Con información de la ENOE, el salario real tuvo un crecimiento anual de 9.0% en el promedio del trimestre. Finalmente, los salarios contractuales en la jurisdicción federal tuvieron un aumento real anual 2.5%, en beneficio 422 mil trabajadores.</w:t>
      </w:r>
    </w:p>
    <w:p w14:paraId="241E2BA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Así, en el cuarto trimestre de 2023, la inflación general anual disminuyó por quinto trimestre consecutivo y alcanzó la menor tasa anual desde el primer trimestre de 2021; al promediar 4.4% anual, disminuyó en 0.2 </w:t>
      </w:r>
      <w:proofErr w:type="spellStart"/>
      <w:r w:rsidRPr="00A74179">
        <w:rPr>
          <w:rFonts w:ascii="Arial" w:hAnsi="Arial" w:cs="Arial"/>
          <w:sz w:val="18"/>
          <w:szCs w:val="18"/>
        </w:rPr>
        <w:t>pp</w:t>
      </w:r>
      <w:proofErr w:type="spellEnd"/>
      <w:r w:rsidRPr="00A74179">
        <w:rPr>
          <w:rFonts w:ascii="Arial" w:hAnsi="Arial" w:cs="Arial"/>
          <w:sz w:val="18"/>
          <w:szCs w:val="18"/>
        </w:rPr>
        <w:t xml:space="preserve"> respecto al trimestre previo. En su interior, la inflación subyacente se ubicó en 5.3% anual, menor en 0.9 </w:t>
      </w:r>
      <w:proofErr w:type="spellStart"/>
      <w:r w:rsidRPr="00A74179">
        <w:rPr>
          <w:rFonts w:ascii="Arial" w:hAnsi="Arial" w:cs="Arial"/>
          <w:sz w:val="18"/>
          <w:szCs w:val="18"/>
        </w:rPr>
        <w:t>pp</w:t>
      </w:r>
      <w:proofErr w:type="spellEnd"/>
      <w:r w:rsidRPr="00A74179">
        <w:rPr>
          <w:rFonts w:ascii="Arial" w:hAnsi="Arial" w:cs="Arial"/>
          <w:sz w:val="18"/>
          <w:szCs w:val="18"/>
        </w:rPr>
        <w:t xml:space="preserve"> respecto al tercer trimestre de 2023. En cambio, la inflación del componente no subyacente se ubicó en 1.8% anual, con lo que aumentó en 1.7 </w:t>
      </w:r>
      <w:proofErr w:type="spellStart"/>
      <w:r w:rsidRPr="00A74179">
        <w:rPr>
          <w:rFonts w:ascii="Arial" w:hAnsi="Arial" w:cs="Arial"/>
          <w:sz w:val="18"/>
          <w:szCs w:val="18"/>
        </w:rPr>
        <w:t>pp</w:t>
      </w:r>
      <w:proofErr w:type="spellEnd"/>
      <w:r w:rsidRPr="00A74179">
        <w:rPr>
          <w:rFonts w:ascii="Arial" w:hAnsi="Arial" w:cs="Arial"/>
          <w:sz w:val="18"/>
          <w:szCs w:val="18"/>
        </w:rPr>
        <w:t xml:space="preserve"> en comparación con el trimestre anterior. </w:t>
      </w:r>
    </w:p>
    <w:p w14:paraId="674AE79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Puntualmente, la tendencia a la baja en la inflación subyacente anual obedeció a que el rubro de mercancías se situó en 5.3%, lo cual fue 1.7 </w:t>
      </w:r>
      <w:proofErr w:type="spellStart"/>
      <w:r w:rsidRPr="00A74179">
        <w:rPr>
          <w:rFonts w:ascii="Arial" w:hAnsi="Arial" w:cs="Arial"/>
          <w:sz w:val="18"/>
          <w:szCs w:val="18"/>
        </w:rPr>
        <w:t>pp</w:t>
      </w:r>
      <w:proofErr w:type="spellEnd"/>
      <w:r w:rsidRPr="00A74179">
        <w:rPr>
          <w:rFonts w:ascii="Arial" w:hAnsi="Arial" w:cs="Arial"/>
          <w:sz w:val="18"/>
          <w:szCs w:val="18"/>
        </w:rPr>
        <w:t xml:space="preserve"> inferior respecto al trimestre previo derivado de algunos alimentos procesados, artículos para el cuidado personal, televisores y automóviles. Adicionalmente, al ubicarse en 5.3% anual, la inflación de servicios aumentó en 0.1 </w:t>
      </w:r>
      <w:proofErr w:type="spellStart"/>
      <w:r w:rsidRPr="00A74179">
        <w:rPr>
          <w:rFonts w:ascii="Arial" w:hAnsi="Arial" w:cs="Arial"/>
          <w:sz w:val="18"/>
          <w:szCs w:val="18"/>
        </w:rPr>
        <w:t>pp</w:t>
      </w:r>
      <w:proofErr w:type="spellEnd"/>
      <w:r w:rsidRPr="00A74179">
        <w:rPr>
          <w:rFonts w:ascii="Arial" w:hAnsi="Arial" w:cs="Arial"/>
          <w:sz w:val="18"/>
          <w:szCs w:val="18"/>
        </w:rPr>
        <w:t xml:space="preserve"> del trimestre anterior, explicado principalmente por los servicios de telefonía móvil, turísticos y educativos. En contraparte, otros genéricos redujeron las presiones al disminuir su inflación, dentro de los cuales se encuentran los servicios relacionados con alimentos, servicios médicos y mantenimiento de automóvil.</w:t>
      </w:r>
    </w:p>
    <w:p w14:paraId="1C5609AE"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ese contexto, durante el cuarto trimestre de 2023, el valor de las exportaciones no petroleras disminuyó 0.7% trimestral, con cifras ajustadas por estacionalidad. En su interior, se registró una contracción de 0.8% en las exportaciones manufactureras automotrices, 0.5% en las exportaciones no automotrices, como la maquinaria y equipo, y de 7.4% en las extractivas. Lo anterior contrarrestó el aumento de 0.9% observado en las exportaciones agropecuarias durante el mismo período. </w:t>
      </w:r>
    </w:p>
    <w:p w14:paraId="36B33B03"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cuanto al destino de las exportaciones manufactureras, en el cuarto trimestre de 2023 y con datos ajustados por estacionalidad, el valor de aquellas dirigidas a EE.UU. se redujo 0.8% trimestral. Detrás de este resultado se encontró la caída de 1.3% de las exportaciones automotrices, explicada por la huelga del sindicato automotriz estadounidense y la disminución de 0.5% trimestral del valor de las no automotrices. Por su parte, el valor de las exportaciones manufactureras destinadas al resto del mundo decreció 0.2% trimestral; sin embargo, destacó que el valor de las automotrices aumentó 1.3% trimestral, principalmente de aquellas dirigidas a Canadá. </w:t>
      </w:r>
    </w:p>
    <w:p w14:paraId="32DD47E7"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Por otra parte, el valor de las exportaciones de productos petroleros se redujo 4.9% trimestral. Este resultado se atribuyó principalmente a la caída del precio de la mezcla mexicana de exportación en 2.8% trimestral, así como a una reducción de 8.7% en el volumen de crudo exportado. Aunado a lo anterior, el valor de las importaciones no petroleras disminuyó 1.1% trimestral, una vez descontado el efecto estacional. Este comportamiento obedeció a la caída de los bienes intermedios no petroleros (- 1.8%) y de capital (- 1.5%). </w:t>
      </w:r>
    </w:p>
    <w:p w14:paraId="4937AC51"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el caso de los bienes intermedios, éstos respondieron a una menor demanda de los productos finales, en donde destacó la reducción en el valor de las importaciones de equipo eléctrico y electrónico, así como de aparatos ópticos y médicos. No obstante, las importaciones de consumo no petrolero aumentaron 3.5% durante el trimestre. </w:t>
      </w:r>
      <w:r w:rsidRPr="00A74179">
        <w:rPr>
          <w:rFonts w:ascii="Arial" w:hAnsi="Arial" w:cs="Arial"/>
          <w:sz w:val="18"/>
          <w:szCs w:val="18"/>
        </w:rPr>
        <w:lastRenderedPageBreak/>
        <w:t xml:space="preserve">El valor de las importaciones petroleras decreció 15.2% trimestral por la caída de los precios internacionales de los petrolíferos como la gasolina, el diésel y el gas LP. </w:t>
      </w:r>
    </w:p>
    <w:p w14:paraId="155F20E0"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su interior, destacó la reducción durante el bimestre de octubre a noviembre y con datos ajustados por estacionalidad4 de los componentes de gas natural, gasolina y diésel en 0.6, 23.2 y 14.4% respectivamente. De esta manera, la balanza comercial mostró un superávit de 4 mil 620 millones de dólares en el cuarto trimestre de 2023, lo que contrastó con el déficit de 3 mil 740 millones del trimestre anterior. </w:t>
      </w:r>
    </w:p>
    <w:p w14:paraId="3D193D36"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El cambio se debió al aumento del superávit en la balanza no petrolera de 6 mil 528 millones de dólares, frente a los 534 millones del periodo anterior. Además, la balanza petrolera redujo su déficit, al pasar de 4 mil 274 millones a mil 908 millones de dólares en el mismo periodo.</w:t>
      </w:r>
    </w:p>
    <w:p w14:paraId="296B626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cuanto a la cuenta corriente, la información más reciente disponible al tercer trimestre de 2023 reveló un saldo superavitario de 2 mil 628 millones de dólares, equivalente al 0.6% del PIB con datos anualizados. Este saldo contrastó con el déficit registrado en el mismo trimestre de 2022, que ascendió a 6 mil 387 millones de dólares, lo que representó un déficit de 1.7% del PIB. El cambio anual en la cuenta corriente se atribuyó principalmente a que la balanza no petrolera pasó de un déficit en el mismo periodo de 2022 a un superávit y al incremento de los ingresos por remesas, así como la reducción del déficit en la balanza comercial petrolera y del déficit en la balanza de ingreso primario. </w:t>
      </w:r>
    </w:p>
    <w:p w14:paraId="2B884503"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Estos factores fueron compensados parcialmente por un aumento del saldo deficitario de la balanza de servicios. En consonancia con el desempeño de la cuenta corriente, se observó una salida de recursos en la cuenta financiera que implicó un préstamo neto de México al resto del mundo por un monto de 4 mil 316 millones de dólares. Este resultado contrastó con la entrada neta de 7 mil 11 millones de dólares registrado en el mismo periodo del año anterior. </w:t>
      </w:r>
    </w:p>
    <w:p w14:paraId="28E96B6A"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Dicho comportamiento resultó de la mayor salida de recursos en el rubro de inversión de cartera, así como a una menor entrada de recursos en otras inversiones por las sociedades no financieras, hogares e instituciones sin fines de lucro al servicio de los hogares. Mientras que, la inversión directa y los derivados financieros registraron una salida de recursos, contrario a lo observado en el mismo trimestre de 2022, principalmente por la salida de inversión directa de mexicanos al exterior.</w:t>
      </w:r>
    </w:p>
    <w:p w14:paraId="5DED0705" w14:textId="77777777" w:rsid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Durante el cuarto trimestre de 2023, el sistema financiero mexicano experimentó condiciones financieras relativamente más favorables con respecto al trimestre previo, en especial hacia el cierre del año, derivado de la expectativa del fin del ciclo de alza de tasas en EE.UU. Como resultado, el peso mexicano mostró una apreciación con respecto al dólar, las tasas de interés soberanas y el riesgo país disminuyeron, el mercado accionario reportó ganancias y el crédito bancario siguió incrementándose, con niveles de capitalización elevados y baja morosidad. Al 29 de diciembre, el tipo de cambio se ubicó en 17.0 pesos por dólar estadounidense, lo que representó una apreciación de 2.7% respecto al nivel observado al 29 de septiembre de 2023. </w:t>
      </w:r>
    </w:p>
    <w:p w14:paraId="6E0BA4EB" w14:textId="77777777" w:rsid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Dicha apreciación estuvo en línea con otras economías emergentes, tales como el peso colombiano, el real brasileño y el rand sudafricano de 5.5, 3.6, y 3.1%, respectivamente. Por su parte, la volatilidad implícita del tipo de cambio a un mes durante el cuarto trimestre se ubicó en 11.2%, 0.6 </w:t>
      </w:r>
      <w:proofErr w:type="spellStart"/>
      <w:r w:rsidRPr="00A74179">
        <w:rPr>
          <w:rFonts w:ascii="Arial" w:hAnsi="Arial" w:cs="Arial"/>
          <w:sz w:val="18"/>
          <w:szCs w:val="18"/>
        </w:rPr>
        <w:t>pp</w:t>
      </w:r>
      <w:proofErr w:type="spellEnd"/>
      <w:r w:rsidRPr="00A74179">
        <w:rPr>
          <w:rFonts w:ascii="Arial" w:hAnsi="Arial" w:cs="Arial"/>
          <w:sz w:val="18"/>
          <w:szCs w:val="18"/>
        </w:rPr>
        <w:t xml:space="preserve"> por arriba del promedio del trimestre previo. La fortaleza del tipo de cambio en México se debe a los sólidos fundamentales macroeconómicos, el bajo déficit en cuenta corriente, la estabilidad política y social del país, así como el amplio diferencial de tasas de referencia con EE.UU. </w:t>
      </w:r>
    </w:p>
    <w:p w14:paraId="7F7A453A" w14:textId="69333F2E"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Por su parte, el Banco de México mantuvo sin cambios su tasa de interés objetivo en 11.25% en sus dos últimas reuniones del año, el 9 de noviembre y el 14 de diciembre de 2023. Asimismo, en su último anuncio de política monetaria, la Junta de Gobierno expresó preocupación en torno a la persistencia de la inflación subyacente que, si bien continuó descendiendo, mostró presiones asociadas a los precios de mercancías alimenticias y servicios. Por tal motivo, el banco central revisó al alza sus proyecciones de inflación general y subyacente, anticipando una convergencia a la meta hacia el segundo trimestre de 2025.</w:t>
      </w:r>
    </w:p>
    <w:p w14:paraId="0010561D"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Por otro lado, la aversión al riesgo hacia economías emergentes disminuyó durante el cuarto trimestre. Los CDS a cinco años para la deuda soberana de México se ubicaron en 88.5 pb al 29 de diciembre, 39 pb por debajo del valor observado al cierre de septiembre, y 52 pb por debajo del promedio de 2022. Esta disminución se mantuvo en línea con lo observado en otros países que mantienen la misma calificación crediticia que México para su deuda </w:t>
      </w:r>
      <w:r w:rsidRPr="00A74179">
        <w:rPr>
          <w:rFonts w:ascii="Arial" w:hAnsi="Arial" w:cs="Arial"/>
          <w:sz w:val="18"/>
          <w:szCs w:val="18"/>
        </w:rPr>
        <w:lastRenderedPageBreak/>
        <w:t xml:space="preserve">soberana de largo plazo, como Italia y Perú, cuyo riesgo crediticio disminuyó en 29.4 y 16.4, respectivamente, mientras que el de Panamá aumentó 29.1 durante el mismo periodo. </w:t>
      </w:r>
    </w:p>
    <w:p w14:paraId="3DD6CC95"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cuanto al mercado de renta fija, se observaron disminuciones generalizadas en las tasas de interés a lo largo de la curva de rendimientos, principalmente en los nodos de mediano y largo plazo. Lo anterior, como respuesta a la expectativa del mercado de que el Banco de México comenzará a reducir su tasa de política monetaria en 2024, de acuerdo con el último comunicado, en línea con lo esperado en otras economías avanzadas, en especial EE.UU. Así, la pendiente de 10 y 2 años se mantuvo negativa, ubicándose en - 96 pb al 29 de diciembre, mientras que el rendimiento de los bonos del Gobierno Federal en moneda nacional a 10 años se ubicó en 8.9%, lo cual reflejó una reducción de 93 pb en relación con el cierre del trimestre previo.</w:t>
      </w:r>
    </w:p>
    <w:p w14:paraId="77016978"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El Estado de Tlaxcala cuenta con una población cercana a 1.3 millones de habitantes, siendo el Estado más pequeño del país en términos de producción económica, por lo que la economía del Estado no es comparable con otras Entidades Federativas.</w:t>
      </w:r>
    </w:p>
    <w:p w14:paraId="61C4B30B"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La industria automotriz es una de las principales actividades en el Estado, debiéndose en buena medida su dinamismo a que las empresas instaladas son proveedoras o distribuidoras de Volkswagen de México. En el ejercicio 2021 a pesar de las dificultades impuestas a nivel internacional por la crisis de salud iniciada en 2020, ésta observó un crecimiento del 1% respecto a 2020 con una producción de 95,800 unidades, por lo que se espera que esta industria, continúe con su dinamismo en el mediano plazo.</w:t>
      </w:r>
    </w:p>
    <w:p w14:paraId="201063D6"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La política fiscal que se implementará en el ejercicio 2024, tendrá como finalidad mantener un balance presupuestario positivo, procurando que las fuentes de ingreso financien el gasto corriente del ejercicio, por lo que se estima que se sigan registrando márgenes operativos positivos en 2024 y 2025, aunque menores a los observados en ejercicios anteriores. Los resultados financieros balanceados y la política de deuda conservadora, han permitido que desde el ejercicio 2008 el Estado de Tlaxcala haya registrado una posición libre de endeudamiento.</w:t>
      </w:r>
    </w:p>
    <w:p w14:paraId="469EF312"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Se espera que el Estado de Tlaxcala siga registrando márgenes operativos positivos en 2024 y 2025 aunque menores a los observados en años previos a la pandemia, debido principalmente a la disminución en las transferencias federales no etiquetadas (participaciones) en 2024, las cuales son equivalentes al 44% de los ingresos operativos. Si bien se prevé que las participaciones se ubiquen por debajo de lo programado, ante la reducción de la recaudación federal participable, es importante mencionar que el Gobierno Federal llevó a cabo una potenciación del Fondo de Estabilización de los Ingresos de las Entidades Federativas (FEIEF) con miras a proteger la disponibilidad de recursos de los Estados y Municipios. Asimismo, con la finalidad de controlar el crecimiento del gasto, se puso en marcha el Acuerdo que Establece los Lineamientos y Políticas Generales del Ejercicio del Presupuesto, las Medidas de Mejora y Modernización, así como de Austeridad del Gasto Público de la Gestión Administrativa, destacando entre otras medidas para limitar el crecimiento del presupuesto, el establecimiento de topes a ciertos rubros del gasto.</w:t>
      </w:r>
    </w:p>
    <w:p w14:paraId="57B4624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El Estado ha registrado resultados financieros positivos durante los últimos cinco años, ya que los ingresos totales crecieron a una tasa compuesta anual del 3.2%, similar a la tasa de gastos totales. Se espera que durante 2024 y 2025 Tlaxcala registre superávits financieros aunado a un mayor gasto de capital para el periodo en cuestión.</w:t>
      </w:r>
    </w:p>
    <w:p w14:paraId="34BE33E3"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Se estima que para 2024, los ingresos propios se mantengan en niveles estables similares a los de 2023, en línea con las previsiones efectuadas por el Gobierno Federal. La liquidez del Estado de Tlaxcala es un factor que permite enfrentar choques externos imprevistos, por lo que se espera que el efectivo del Estado cubra al menos el 1.0% de los pasivos promedio para 2024 y 2025, como resultado del buen manejo del presupuesto.</w:t>
      </w:r>
    </w:p>
    <w:p w14:paraId="51891916"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El Indicador Trimestral de la Actividad Económica Estatal (ITAEE), reveló para el caso de Tlaxcala que la variación trimestral de la actividad económica fue de 1.5% a tasa anual respecto al mismo periodo de 2022, con lo que la economía del Estado de Tlaxcala se ha mantenido fluctuante, ubicándose por debajo de la media nacional que es de 3.3%.</w:t>
      </w:r>
    </w:p>
    <w:p w14:paraId="38DB4C77"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cuanto a las actividades primarias, la media nacional del Indicador Trimestral de la Actividad Económica se ubicó en 5.7% con respecto al mismo </w:t>
      </w:r>
      <w:proofErr w:type="gramStart"/>
      <w:r w:rsidRPr="00A74179">
        <w:rPr>
          <w:rFonts w:ascii="Arial" w:hAnsi="Arial" w:cs="Arial"/>
          <w:sz w:val="18"/>
          <w:szCs w:val="18"/>
        </w:rPr>
        <w:t>trimestre</w:t>
      </w:r>
      <w:proofErr w:type="gramEnd"/>
      <w:r w:rsidRPr="00A74179">
        <w:rPr>
          <w:rFonts w:ascii="Arial" w:hAnsi="Arial" w:cs="Arial"/>
          <w:sz w:val="18"/>
          <w:szCs w:val="18"/>
        </w:rPr>
        <w:t xml:space="preserve"> pero del año anterior, indicador que colocó a Tlaxcala en 9.2% de variación anual, principalmente por el comportamiento de la agricultura, cría y explotación de animales. Con ello, Tlaxcala se situó en el lugar 11 a nivel nacional.</w:t>
      </w:r>
    </w:p>
    <w:p w14:paraId="418E0DD1"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lastRenderedPageBreak/>
        <w:t>Respecto a las actividades secundarias que comprende los sectores dedicados a la industria de la minería, manufacturas, construcción y electricidad con corte al tercer trimestre del año 2023 y en comparación con el 2022, la variación de la entidad tlaxcalteca fue de -1.6% mientras que la media nacional fue de 4.3%, ubicando a Tlaxcala en el lugar 26 de entre las 32 Entidades Federativas del país.</w:t>
      </w:r>
    </w:p>
    <w:p w14:paraId="128E1254"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Por otro lado, las actividades terciarias que incluyen los sectores dedicados a la distribución de bienes y aquellas actividades relativas a operaciones con información o con activos, así como a servicios cuyo insumo principal es el conocimiento y la experiencia de personal. Incluyen también todo lo relacionado con la recreación y el gobierno, crecieron en su comparativo anual un 3.1%, cuando la media nacional fue de 2.7%, lo que ubicó a Tlaxcala en el lugar 11 a nivel nacional, siendo el Estado de Oaxaca quien generó una mayor variación positiva con un 5.4%.</w:t>
      </w:r>
    </w:p>
    <w:p w14:paraId="17FA5559"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el tercer trimestre de 2023 y con cifras desestacionalizadas, las entidades federativas que registraron los incrementos más pronunciados en su actividad económica, respecto al trimestre anterior, fueron: Quintana Roo, Nayarit, Aguascalientes, Nuevo León, San Luis Potosí, Sonora y Yucatán.</w:t>
      </w:r>
    </w:p>
    <w:p w14:paraId="5FF45C7E" w14:textId="58B74688" w:rsidR="00A74179" w:rsidRPr="00A74179" w:rsidRDefault="00A74179" w:rsidP="00A74179">
      <w:pPr>
        <w:tabs>
          <w:tab w:val="left" w:pos="284"/>
        </w:tabs>
        <w:ind w:left="284"/>
        <w:jc w:val="center"/>
        <w:rPr>
          <w:rFonts w:ascii="Arial" w:hAnsi="Arial" w:cs="Arial"/>
          <w:sz w:val="18"/>
          <w:szCs w:val="18"/>
        </w:rPr>
      </w:pPr>
      <w:r w:rsidRPr="00A74179">
        <w:rPr>
          <w:rFonts w:ascii="Arial" w:hAnsi="Arial" w:cs="Arial"/>
          <w:noProof/>
          <w:sz w:val="18"/>
          <w:szCs w:val="18"/>
          <w:lang w:eastAsia="es-MX"/>
        </w:rPr>
        <w:drawing>
          <wp:inline distT="0" distB="0" distL="0" distR="0" wp14:anchorId="5B8A452E" wp14:editId="7D80FEAE">
            <wp:extent cx="4246880" cy="4431665"/>
            <wp:effectExtent l="0" t="0" r="1270" b="6985"/>
            <wp:docPr id="79096937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31459" t="25598" r="32687" b="7814"/>
                    <a:stretch>
                      <a:fillRect/>
                    </a:stretch>
                  </pic:blipFill>
                  <pic:spPr bwMode="auto">
                    <a:xfrm>
                      <a:off x="0" y="0"/>
                      <a:ext cx="4246880" cy="4431665"/>
                    </a:xfrm>
                    <a:prstGeom prst="rect">
                      <a:avLst/>
                    </a:prstGeom>
                    <a:noFill/>
                    <a:ln>
                      <a:noFill/>
                    </a:ln>
                  </pic:spPr>
                </pic:pic>
              </a:graphicData>
            </a:graphic>
          </wp:inline>
        </w:drawing>
      </w:r>
    </w:p>
    <w:p w14:paraId="3C8D279D" w14:textId="77777777" w:rsid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Al mes de febrero de 2024 la tasa de ocupación reflejó una participación del 1% al total nacional, presentando un incremento de 1,060, puestos de trabajo permanentes respecto a diciembre de 2023. Al mes de febrero de 2024, se tienen registrados 115,440 trabajadores asegurados en el IMSS, tal y como se muestra en los cuadros siguientes:</w:t>
      </w:r>
    </w:p>
    <w:p w14:paraId="7ECF1ABB" w14:textId="77777777" w:rsidR="00A74179" w:rsidRDefault="00A74179" w:rsidP="00A74179">
      <w:pPr>
        <w:tabs>
          <w:tab w:val="left" w:pos="284"/>
        </w:tabs>
        <w:ind w:left="284"/>
        <w:jc w:val="both"/>
        <w:rPr>
          <w:rFonts w:ascii="Arial" w:hAnsi="Arial" w:cs="Arial"/>
          <w:sz w:val="18"/>
          <w:szCs w:val="18"/>
        </w:rPr>
      </w:pPr>
    </w:p>
    <w:p w14:paraId="6E7F3374" w14:textId="77777777" w:rsidR="00A74179" w:rsidRDefault="00A74179" w:rsidP="00A74179">
      <w:pPr>
        <w:tabs>
          <w:tab w:val="left" w:pos="284"/>
        </w:tabs>
        <w:ind w:left="284"/>
        <w:jc w:val="both"/>
        <w:rPr>
          <w:rFonts w:ascii="Arial" w:hAnsi="Arial" w:cs="Arial"/>
          <w:sz w:val="18"/>
          <w:szCs w:val="18"/>
        </w:rPr>
      </w:pPr>
    </w:p>
    <w:p w14:paraId="2E4CD144" w14:textId="77777777" w:rsidR="00A74179" w:rsidRDefault="00A74179" w:rsidP="00A74179">
      <w:pPr>
        <w:tabs>
          <w:tab w:val="left" w:pos="284"/>
        </w:tabs>
        <w:ind w:left="284"/>
        <w:jc w:val="both"/>
        <w:rPr>
          <w:rFonts w:ascii="Arial" w:hAnsi="Arial" w:cs="Arial"/>
          <w:sz w:val="18"/>
          <w:szCs w:val="18"/>
        </w:rPr>
      </w:pPr>
    </w:p>
    <w:p w14:paraId="5DE6FDAD" w14:textId="77777777" w:rsidR="00A74179" w:rsidRDefault="00A74179" w:rsidP="00A74179">
      <w:pPr>
        <w:tabs>
          <w:tab w:val="left" w:pos="284"/>
        </w:tabs>
        <w:ind w:left="284"/>
        <w:jc w:val="both"/>
        <w:rPr>
          <w:rFonts w:ascii="Arial" w:hAnsi="Arial" w:cs="Arial"/>
          <w:sz w:val="18"/>
          <w:szCs w:val="18"/>
        </w:rPr>
      </w:pPr>
    </w:p>
    <w:p w14:paraId="40481ECA" w14:textId="77777777" w:rsidR="00A74179" w:rsidRDefault="00A74179" w:rsidP="00A74179">
      <w:pPr>
        <w:tabs>
          <w:tab w:val="left" w:pos="284"/>
        </w:tabs>
        <w:ind w:left="284"/>
        <w:jc w:val="both"/>
        <w:rPr>
          <w:rFonts w:ascii="Arial" w:hAnsi="Arial" w:cs="Arial"/>
          <w:sz w:val="18"/>
          <w:szCs w:val="18"/>
        </w:rPr>
      </w:pPr>
    </w:p>
    <w:p w14:paraId="1B402453" w14:textId="77777777" w:rsidR="00A74179" w:rsidRPr="00A74179" w:rsidRDefault="00A74179" w:rsidP="00A74179">
      <w:pPr>
        <w:tabs>
          <w:tab w:val="left" w:pos="284"/>
        </w:tabs>
        <w:ind w:left="284"/>
        <w:jc w:val="both"/>
        <w:rPr>
          <w:rFonts w:ascii="Arial" w:hAnsi="Arial" w:cs="Arial"/>
          <w:sz w:val="18"/>
          <w:szCs w:val="18"/>
        </w:rPr>
      </w:pPr>
    </w:p>
    <w:p w14:paraId="0E3583B6" w14:textId="468D78CB"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noProof/>
          <w:sz w:val="18"/>
          <w:szCs w:val="18"/>
          <w:lang w:eastAsia="es-MX"/>
        </w:rPr>
        <w:drawing>
          <wp:inline distT="0" distB="0" distL="0" distR="0" wp14:anchorId="628CDC96" wp14:editId="4965EEB6">
            <wp:extent cx="6050238" cy="6543040"/>
            <wp:effectExtent l="0" t="0" r="8255" b="0"/>
            <wp:docPr id="213732266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l="25948" t="20334" r="23318" b="7254"/>
                    <a:stretch>
                      <a:fillRect/>
                    </a:stretch>
                  </pic:blipFill>
                  <pic:spPr bwMode="auto">
                    <a:xfrm>
                      <a:off x="0" y="0"/>
                      <a:ext cx="6057952" cy="6551382"/>
                    </a:xfrm>
                    <a:prstGeom prst="rect">
                      <a:avLst/>
                    </a:prstGeom>
                    <a:noFill/>
                    <a:ln>
                      <a:noFill/>
                    </a:ln>
                  </pic:spPr>
                </pic:pic>
              </a:graphicData>
            </a:graphic>
          </wp:inline>
        </w:drawing>
      </w:r>
    </w:p>
    <w:p w14:paraId="4E48A9AA" w14:textId="66839EDF"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noProof/>
          <w:sz w:val="18"/>
          <w:szCs w:val="18"/>
          <w:lang w:eastAsia="es-MX"/>
        </w:rPr>
        <w:lastRenderedPageBreak/>
        <w:drawing>
          <wp:inline distT="0" distB="0" distL="0" distR="0" wp14:anchorId="50F74F64" wp14:editId="5B63B5DA">
            <wp:extent cx="5943600" cy="4378960"/>
            <wp:effectExtent l="0" t="0" r="0" b="2540"/>
            <wp:docPr id="1986370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l="22466" t="20882" r="23669" b="8522"/>
                    <a:stretch>
                      <a:fillRect/>
                    </a:stretch>
                  </pic:blipFill>
                  <pic:spPr bwMode="auto">
                    <a:xfrm>
                      <a:off x="0" y="0"/>
                      <a:ext cx="5943600" cy="4378960"/>
                    </a:xfrm>
                    <a:prstGeom prst="rect">
                      <a:avLst/>
                    </a:prstGeom>
                    <a:noFill/>
                    <a:ln>
                      <a:noFill/>
                    </a:ln>
                  </pic:spPr>
                </pic:pic>
              </a:graphicData>
            </a:graphic>
          </wp:inline>
        </w:drawing>
      </w:r>
      <w:r w:rsidRPr="00A74179">
        <w:rPr>
          <w:rFonts w:ascii="Arial" w:hAnsi="Arial" w:cs="Arial"/>
          <w:sz w:val="18"/>
          <w:szCs w:val="18"/>
        </w:rPr>
        <w:t>De acuerdo al Directorio Estadístico Nacional de Unidades Económicas, Tlaxcala cuenta con 82,801 Unidades Económicas al mes de abril de 2024, en los rubros siguientes:</w:t>
      </w:r>
    </w:p>
    <w:p w14:paraId="5ED6ED5A" w14:textId="2E4FF708" w:rsidR="00A74179" w:rsidRPr="00A74179" w:rsidRDefault="00A74179" w:rsidP="00A74179">
      <w:pPr>
        <w:tabs>
          <w:tab w:val="left" w:pos="284"/>
        </w:tabs>
        <w:ind w:left="284"/>
        <w:jc w:val="center"/>
        <w:rPr>
          <w:rFonts w:ascii="Arial" w:hAnsi="Arial" w:cs="Arial"/>
          <w:sz w:val="18"/>
          <w:szCs w:val="18"/>
        </w:rPr>
      </w:pPr>
      <w:r w:rsidRPr="00A74179">
        <w:rPr>
          <w:rFonts w:ascii="Arial" w:hAnsi="Arial" w:cs="Arial"/>
          <w:noProof/>
          <w:sz w:val="18"/>
          <w:szCs w:val="18"/>
          <w:lang w:eastAsia="es-MX"/>
        </w:rPr>
        <w:drawing>
          <wp:inline distT="0" distB="0" distL="0" distR="0" wp14:anchorId="3AAD948F" wp14:editId="7E3E4562">
            <wp:extent cx="3511606" cy="3550285"/>
            <wp:effectExtent l="0" t="0" r="0" b="0"/>
            <wp:docPr id="3729560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5131" cy="3563959"/>
                    </a:xfrm>
                    <a:prstGeom prst="rect">
                      <a:avLst/>
                    </a:prstGeom>
                    <a:noFill/>
                    <a:ln>
                      <a:noFill/>
                    </a:ln>
                  </pic:spPr>
                </pic:pic>
              </a:graphicData>
            </a:graphic>
          </wp:inline>
        </w:drawing>
      </w:r>
    </w:p>
    <w:p w14:paraId="765C7693" w14:textId="77777777" w:rsidR="00A74179" w:rsidRPr="00A74179" w:rsidRDefault="00A74179" w:rsidP="00A74179">
      <w:pPr>
        <w:ind w:left="2127"/>
        <w:jc w:val="both"/>
        <w:rPr>
          <w:rFonts w:ascii="Arial" w:hAnsi="Arial" w:cs="Arial"/>
          <w:sz w:val="10"/>
          <w:szCs w:val="10"/>
        </w:rPr>
      </w:pPr>
      <w:r w:rsidRPr="00A74179">
        <w:rPr>
          <w:rFonts w:ascii="Arial" w:hAnsi="Arial" w:cs="Arial"/>
          <w:sz w:val="10"/>
          <w:szCs w:val="10"/>
        </w:rPr>
        <w:t>FUENTE: INEGI. DENUE. Abril 2024.</w:t>
      </w:r>
    </w:p>
    <w:p w14:paraId="64D22629"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lastRenderedPageBreak/>
        <w:t>Lo que representa una participación del 1% del Estado en el total nacional. Al cuarto trimestre de 2023 la Población Económicamente Activa (PEA) ascendió a 669,000 personas, representando el 61% de la población en edad de trabajar. Del total de la PEA, el 96% está ocupada y el 4% se encuentra desocupada.</w:t>
      </w:r>
    </w:p>
    <w:p w14:paraId="6F5A913A" w14:textId="04D9EEC4"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noProof/>
          <w:sz w:val="18"/>
          <w:szCs w:val="18"/>
          <w:lang w:eastAsia="es-MX"/>
        </w:rPr>
        <w:drawing>
          <wp:inline distT="0" distB="0" distL="0" distR="0" wp14:anchorId="3028F4A3" wp14:editId="007B4ABD">
            <wp:extent cx="5943292" cy="6957392"/>
            <wp:effectExtent l="0" t="0" r="635" b="0"/>
            <wp:docPr id="4741087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l="24414" t="25224" r="25429" b="7628"/>
                    <a:stretch>
                      <a:fillRect/>
                    </a:stretch>
                  </pic:blipFill>
                  <pic:spPr bwMode="auto">
                    <a:xfrm>
                      <a:off x="0" y="0"/>
                      <a:ext cx="5961778" cy="6979032"/>
                    </a:xfrm>
                    <a:prstGeom prst="rect">
                      <a:avLst/>
                    </a:prstGeom>
                    <a:noFill/>
                    <a:ln>
                      <a:noFill/>
                    </a:ln>
                  </pic:spPr>
                </pic:pic>
              </a:graphicData>
            </a:graphic>
          </wp:inline>
        </w:drawing>
      </w:r>
    </w:p>
    <w:p w14:paraId="0082641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Al cuarto trimestre de 2023, la Inversión Extranjera Directa Acumulada del año 2006 al mes de diciembre de 2023 en el Estado de Tlaxcala fue de 3,213.6 millones de dólares, lo que representó un aporte del 0.1% al total nacional, instalándose empresas de diversas nacionalidades, tal y como se observa en el cuadro comparativo siguiente:</w:t>
      </w:r>
    </w:p>
    <w:p w14:paraId="2547AB17" w14:textId="3ADA2532" w:rsidR="00A74179" w:rsidRPr="00A74179" w:rsidRDefault="00A74179" w:rsidP="00A74179">
      <w:pPr>
        <w:tabs>
          <w:tab w:val="left" w:pos="284"/>
        </w:tabs>
        <w:ind w:left="284"/>
        <w:jc w:val="center"/>
        <w:rPr>
          <w:rFonts w:ascii="Arial" w:hAnsi="Arial" w:cs="Arial"/>
          <w:sz w:val="18"/>
          <w:szCs w:val="18"/>
        </w:rPr>
      </w:pPr>
      <w:r w:rsidRPr="00A74179">
        <w:rPr>
          <w:rFonts w:ascii="Arial" w:hAnsi="Arial" w:cs="Arial"/>
          <w:noProof/>
          <w:sz w:val="18"/>
          <w:szCs w:val="18"/>
          <w:lang w:eastAsia="es-MX"/>
        </w:rPr>
        <w:lastRenderedPageBreak/>
        <w:drawing>
          <wp:inline distT="0" distB="0" distL="0" distR="0" wp14:anchorId="2E3DDE05" wp14:editId="5EE78DB9">
            <wp:extent cx="6055775" cy="4675367"/>
            <wp:effectExtent l="0" t="0" r="2540" b="0"/>
            <wp:docPr id="12838550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0308" cy="4694308"/>
                    </a:xfrm>
                    <a:prstGeom prst="rect">
                      <a:avLst/>
                    </a:prstGeom>
                    <a:noFill/>
                    <a:ln>
                      <a:noFill/>
                    </a:ln>
                  </pic:spPr>
                </pic:pic>
              </a:graphicData>
            </a:graphic>
          </wp:inline>
        </w:drawing>
      </w:r>
    </w:p>
    <w:p w14:paraId="497B632E"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La economía del Estado es débil en relación con otras Entidades Federativas, lo que limita su capacidad de generación de ingresos de la base fiscal regional; se espera que las actividades productivas del Estado se desarrollen a la par de las nacionales durante el transcurso del ejercicio 2024. La evolución de las finanzas públicas del Estado obedece a la dinámica recaudatoria de los ingresos estatales totales y de las transferencias federales, las que a su vez son determinados por el comportamiento de la Recaudación Federal Participable (RFP); representando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14:paraId="04789B05"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función de los factores antes mencionados, las perspectivas económicas locales en el corto plazo son moderadamente favorables, por lo que el manejo del gasto es un factor fundamental en el quehacer gubernamental, lo cual redundará en mejores condiciones económicas para el Estado y los Municipios en el mediano plazo.</w:t>
      </w:r>
    </w:p>
    <w:p w14:paraId="21A3381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14:paraId="1D81D320" w14:textId="5E6D52DB" w:rsidR="00420656" w:rsidRDefault="00420656" w:rsidP="00420656">
      <w:pPr>
        <w:pStyle w:val="Texto"/>
        <w:numPr>
          <w:ilvl w:val="0"/>
          <w:numId w:val="6"/>
        </w:numPr>
        <w:tabs>
          <w:tab w:val="left" w:pos="284"/>
        </w:tabs>
        <w:spacing w:after="0" w:line="276" w:lineRule="auto"/>
        <w:rPr>
          <w:b/>
          <w:szCs w:val="18"/>
          <w:lang w:val="es-MX"/>
        </w:rPr>
      </w:pPr>
      <w:r>
        <w:rPr>
          <w:b/>
          <w:szCs w:val="18"/>
          <w:lang w:val="es-MX"/>
        </w:rPr>
        <w:t>Organización y Objeto Social</w:t>
      </w:r>
    </w:p>
    <w:p w14:paraId="188D414D"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w:t>
      </w:r>
      <w:r>
        <w:rPr>
          <w:rFonts w:ascii="Arial" w:hAnsi="Arial" w:cs="Arial"/>
          <w:sz w:val="18"/>
          <w:szCs w:val="18"/>
        </w:rPr>
        <w:lastRenderedPageBreak/>
        <w:t>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14:paraId="7E0EF62B"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Gobierno del Estado, a través de la Secretaría de Finanzas es la dependencia encargada de la administración de la Hacienda Pública; entre muchas de sus labores,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14:paraId="1F06CF9A" w14:textId="0DA42F77" w:rsidR="00420656" w:rsidRDefault="00420656" w:rsidP="00420656">
      <w:pPr>
        <w:pStyle w:val="Texto"/>
        <w:numPr>
          <w:ilvl w:val="0"/>
          <w:numId w:val="6"/>
        </w:numPr>
        <w:tabs>
          <w:tab w:val="left" w:pos="284"/>
        </w:tabs>
        <w:spacing w:after="0" w:line="276" w:lineRule="auto"/>
        <w:rPr>
          <w:b/>
          <w:szCs w:val="18"/>
          <w:lang w:val="es-MX"/>
        </w:rPr>
      </w:pPr>
      <w:r>
        <w:rPr>
          <w:b/>
          <w:szCs w:val="18"/>
          <w:lang w:val="es-MX"/>
        </w:rPr>
        <w:t>Bases de Preparación de los Estados Financieros</w:t>
      </w:r>
    </w:p>
    <w:p w14:paraId="635703B6"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14:paraId="1C3642DF"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del CONAC.</w:t>
      </w:r>
    </w:p>
    <w:p w14:paraId="68B0321C"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14:paraId="4A7F58DA"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14:paraId="128086A1" w14:textId="3E8DB4A5" w:rsidR="00420656" w:rsidRDefault="00420656" w:rsidP="00420656">
      <w:pPr>
        <w:pStyle w:val="Texto"/>
        <w:numPr>
          <w:ilvl w:val="0"/>
          <w:numId w:val="6"/>
        </w:numPr>
        <w:tabs>
          <w:tab w:val="left" w:pos="284"/>
        </w:tabs>
        <w:spacing w:after="0" w:line="276" w:lineRule="auto"/>
        <w:rPr>
          <w:b/>
          <w:szCs w:val="18"/>
          <w:lang w:val="es-MX"/>
        </w:rPr>
      </w:pPr>
      <w:r>
        <w:rPr>
          <w:b/>
          <w:szCs w:val="18"/>
          <w:lang w:val="es-MX"/>
        </w:rPr>
        <w:t>Políticas de Contabilidad Significativas</w:t>
      </w:r>
    </w:p>
    <w:p w14:paraId="67B98363"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w:t>
      </w:r>
      <w:r>
        <w:rPr>
          <w:rFonts w:ascii="Arial" w:hAnsi="Arial" w:cs="Arial"/>
          <w:sz w:val="18"/>
          <w:szCs w:val="18"/>
        </w:rPr>
        <w:lastRenderedPageBreak/>
        <w:t xml:space="preserve">contables específicas y sistemas, aplicadas para las transacciones y eventos cuantificables en términos económicos, con el objeto de generar información útil y confiable. </w:t>
      </w:r>
    </w:p>
    <w:p w14:paraId="52F24FF2"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registros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14:paraId="34F1CEBB"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14:paraId="3B94B147"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14:paraId="5261C65C" w14:textId="0A47A4EA"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p>
    <w:p w14:paraId="0C03A1E6" w14:textId="69BEA28C" w:rsidR="00420656" w:rsidRDefault="00420656" w:rsidP="00420656">
      <w:pPr>
        <w:pStyle w:val="Texto"/>
        <w:tabs>
          <w:tab w:val="left" w:pos="284"/>
        </w:tabs>
        <w:spacing w:after="0" w:line="276" w:lineRule="auto"/>
        <w:ind w:left="284" w:firstLine="0"/>
        <w:rPr>
          <w:b/>
          <w:szCs w:val="18"/>
          <w:lang w:val="es-MX"/>
        </w:rPr>
      </w:pPr>
      <w:r>
        <w:rPr>
          <w:b/>
          <w:szCs w:val="18"/>
          <w:lang w:val="es-MX"/>
        </w:rPr>
        <w:t>10. Información sobre la Deuda y el Reporte Analítico de la Deuda</w:t>
      </w:r>
    </w:p>
    <w:p w14:paraId="710020B0"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La deuda pública es una de las principales herramientas de los gobiernos para la obtención de recursos financieros adicionales para el desarrollo económico y social. En las comunidades con organización federal, como la mexicana, existen aparatos institucionales diseñados para procurar que el uso del instrumento por parte de los gobiernos locales se realice de manera disciplinada y productiva. En este sentido, la Constitución estipula obligaciones en cuanto al origen y el destino del endeudamiento, a partir de las cuales las entidades federativas llevan a cabo sus legislaciones; luego de un incremento generalizado en las cifras de endeudamiento de los estados y municipios, vinculados con acusaciones de corrupción y manejo indebido de recursos, se aprobó una reforma constitucional que incluye una Ley de Disciplina Financiera para las Entidades Federativas y los Municipios, al respecto se establece un Registro Público Único de Obligaciones y Empréstitos de Entidades y Municipios a cargo de la Secretaría de Hacienda y Crédito Público, que tiene por objeto documentar los financiamientos adquiridos por los gobiernos locales.</w:t>
      </w:r>
    </w:p>
    <w:p w14:paraId="01B532B1"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En un ambiente macroeconómico mundial de incertidumbre y volatilidad, teniendo como premisa el mantener la disciplina en las finanzas públicas, a través de un programa de austeridad y eficiencia en el gasto público, se han establecido políticas para la hacienda pública estatal que permitirán sustentar fuentes de ingreso estables y permanentes, así como un gasto público austero y basado en resultados.</w:t>
      </w:r>
    </w:p>
    <w:p w14:paraId="3484CCB0"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Con la publicación y entrada en vigor de la Ley de Disciplina Financiera de las Entidades Federativas y los Municipios el 27 de abril de 2016, se establecieron criterios de mayor transparencia en el uso del financiamiento de los gobiernos locales entre los que destacan: </w:t>
      </w:r>
    </w:p>
    <w:p w14:paraId="41C13301"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 Nuevas reglas de disciplina financiera que contemplan mecanismos de equilibrio presupuestario y de distribución de ingresos excedentes;</w:t>
      </w:r>
    </w:p>
    <w:p w14:paraId="2E78D84E"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b) Un sistema de alertas, el cual mide los niveles de endeudamiento, del servicio de la deuda y las condiciones de liquidez de las entidades federativas, los municipios y sus entes públicos, y</w:t>
      </w:r>
    </w:p>
    <w:p w14:paraId="6D0EE7CC"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c) Un Registro Público Único que permite la inscripción de la totalidad de las obligaciones de los gobiernos locales. De ahí la importancia de presentar este reporte trimestral que muestra de manera sencilla la situación actual que guarda la deuda de entidades federativas, municipios y sus entes públicos (deuda subnacional).</w:t>
      </w:r>
    </w:p>
    <w:p w14:paraId="6AF9E1D7"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lastRenderedPageBreak/>
        <w:t xml:space="preserve">La deuda del Gobierno Federal comprende las obligaciones de los poderes Legislativo y Judicial, las dependencias del Poder Ejecutivo Federal y sus órganos desconcentrados, así como las obligaciones contraídas por entidades que formaron parte de la Administración Pública Federal paraestatal y que fueron transformadas en órganos autónomos, en particular, el Instituto Nacional de Transparencia, Acceso a la Información y Protección de Datos Personales (INAI), y el Instituto Federal de Telecomunicaciones (IFT). </w:t>
      </w:r>
    </w:p>
    <w:p w14:paraId="06FCC248"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Por su parte, la deuda del Sector Público está integrada por la deuda del Gobierno Federal más las obligaciones de las entidades de control presupuestario directo, de las Empresas Productivas del Estado y sus subsidiarias, y de la banca de desarrollo. Finalmente, el SHRFSP está integrado por la deuda del Sector Público Presupuestario más las obligaciones que, por diversos ordenamientos jurídicos y prácticas presupuestarias, no se incluyen en la deuda pública. </w:t>
      </w:r>
    </w:p>
    <w:p w14:paraId="43BC011A"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En particular, el SHRFSP incluye las obligaciones financieras netas del Instituto para la Protección al Ahorro Bancario (IPAB) y el programa de apoyo a deudores, las obligaciones de los </w:t>
      </w:r>
      <w:proofErr w:type="spellStart"/>
      <w:r>
        <w:rPr>
          <w:rFonts w:ascii="Arial" w:hAnsi="Arial" w:cs="Arial"/>
          <w:sz w:val="18"/>
          <w:szCs w:val="18"/>
        </w:rPr>
        <w:t>Pidiregas</w:t>
      </w:r>
      <w:proofErr w:type="spellEnd"/>
      <w:r>
        <w:rPr>
          <w:rFonts w:ascii="Arial" w:hAnsi="Arial" w:cs="Arial"/>
          <w:sz w:val="18"/>
          <w:szCs w:val="18"/>
        </w:rPr>
        <w:t>, las obligaciones derivadas del entonces Fideicomiso de Apoyo para el Rescate de Autopistas Concesionadas (FARAC), hoy Fondo Nacional de Infraestructura (</w:t>
      </w:r>
      <w:proofErr w:type="spellStart"/>
      <w:r>
        <w:rPr>
          <w:rFonts w:ascii="Arial" w:hAnsi="Arial" w:cs="Arial"/>
          <w:sz w:val="18"/>
          <w:szCs w:val="18"/>
        </w:rPr>
        <w:t>Fonadin</w:t>
      </w:r>
      <w:proofErr w:type="spellEnd"/>
      <w:r>
        <w:rPr>
          <w:rFonts w:ascii="Arial" w:hAnsi="Arial" w:cs="Arial"/>
          <w:sz w:val="18"/>
          <w:szCs w:val="18"/>
        </w:rPr>
        <w:t>); y el patrimonio de las Instituciones de Fomento.</w:t>
      </w:r>
    </w:p>
    <w:p w14:paraId="286ABC7A"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Al cierre de 2023, la deuda pública mantuvo una estructura sólida y se financió principalmente en el mercado interno, con instrumentos a largo plazo y a tasa fija. Además, se continuó con la implementación de una gestión de riesgos mediante la diversificación del portafolio de deuda y el fortalecimiento del programa de coberturas, lo que permitió cubrir las necesidades de financiamiento del Gobierno Federal al menor costo y riesgo posibles. </w:t>
      </w:r>
    </w:p>
    <w:p w14:paraId="5CD7BCCE"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Durante el trimestre se realizaron operaciones de manejo de pasivos para mantener un perfil de vencimientos favorable y reducir presiones de liquidez. El 5 de octubre, se realizó una operación de refinanciamiento mediante el intercambio de valores gubernamentales por un monto de 103 mil millones de pesos.</w:t>
      </w:r>
    </w:p>
    <w:p w14:paraId="66DA8EC4"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El 23 de octubre, se realizó una operación de refinanciamiento por un monto de 34 mil 636 millones de pesos y una colocación por 36 mil 608 millones de pesos. Para fortalecer el desarrollo del mercado local de Bonos Sostenibles, el 25 de octubre se realizó una emisión de Bondes G, por un monto de 15 mil millones de pesos, la cual fue referencia de bajo riesgo para emisiones corporativas. El financiamiento externo continuó como fuente complementaria de crédito; sin embargo, en el cuarto trimestre del 2023, no se accedió a los mercados internacionales. </w:t>
      </w:r>
    </w:p>
    <w:p w14:paraId="514F90DC"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No obstante, para consolidar la curva de rendimiento sostenible y ampliar la participación de inversionistas, se realizaron dos operaciones a lo largo del año por un monto total de 6 mil 941 millones de dólares, las cuales permitieron cubrir necesidades de liquidez, así como aprovechar condiciones de financiamiento externo favorables y optimizar el portafolio de bonos en moneda extranjera. </w:t>
      </w:r>
    </w:p>
    <w:p w14:paraId="4C71E973"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Cabe resaltar que todas las colocaciones de deuda se apegaron al Programa Anual de Financiamiento 2023, y fueron congruentes con lo estipulado por la Ley Federal de Deuda Pública y se mantuvieron en línea con los techos de endeudamiento aprobados por el H. Congreso de la Unión para el ejercicio fiscal 2023.</w:t>
      </w:r>
    </w:p>
    <w:p w14:paraId="4915D1B2"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Al cuarto trimestre de 2023, la deuda neta del Gobierno Federal se ubicó en 12 billones 710 mil 635.1 millones de pesos. La estructura del portafolio de la deuda mantuvo la mayor parte de sus pasivos denominados en moneda nacional, representando, al 31 de diciembre de 2023, el 84.2% del saldo de la deuda neta del Gobierno Federal.</w:t>
      </w:r>
    </w:p>
    <w:p w14:paraId="41441F41"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Al cierre del cuarto trimestre de 2023, el saldo de la deuda interna neta del Gobierno Federal ascendió a 10 billones 699 mil 546.7 millones de pesos. La variación del saldo de la deuda interna respecto del cierre de 2022 fue el resultado de: </w:t>
      </w:r>
    </w:p>
    <w:p w14:paraId="756A5956"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i) Un endeudamiento interno neto por 1 billón 170 mil 435.7 millones de pesos; </w:t>
      </w:r>
    </w:p>
    <w:p w14:paraId="67A2B131"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ii) Un decremento en las disponibilidades del Gobierno Federal por 146 mil 675.4 millones de pesos; y, </w:t>
      </w:r>
    </w:p>
    <w:p w14:paraId="7E6FA59D"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iii) Ajustes contables positivos por 120 mil 661.5 millones de pesos, derivados del efecto inflacionario de la deuda interna indizada y del ajuste por las operaciones de permuta de deuda. Este desempeño fue congruente con el techo de endeudamiento interno neto aprobado por el H. Congreso de la Unión para 2023.</w:t>
      </w:r>
    </w:p>
    <w:p w14:paraId="2F4EFFCF"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lastRenderedPageBreak/>
        <w:t xml:space="preserve">Entre los cierres de 2022 y 2023, los Cetes incrementaron su participación en el saldo total de los valores gubernamentales al pasar de 9.1% a 11.5%, al igual que los Bondes F que pasaron de 13.9% a 14.9%; los </w:t>
      </w:r>
      <w:proofErr w:type="spellStart"/>
      <w:r>
        <w:rPr>
          <w:rFonts w:ascii="Arial" w:hAnsi="Arial" w:cs="Arial"/>
          <w:sz w:val="18"/>
          <w:szCs w:val="18"/>
        </w:rPr>
        <w:t>Udibonos</w:t>
      </w:r>
      <w:proofErr w:type="spellEnd"/>
      <w:r>
        <w:rPr>
          <w:rFonts w:ascii="Arial" w:hAnsi="Arial" w:cs="Arial"/>
          <w:sz w:val="18"/>
          <w:szCs w:val="18"/>
        </w:rPr>
        <w:t xml:space="preserve"> que pasaron de 29.5% a 29.8%; y, los Bondes G al pasar de 0.5% a 0.7%. Por su parte, la participación de los Bonos Tasa Fija Bono MS se situó en 0.2%. </w:t>
      </w:r>
    </w:p>
    <w:p w14:paraId="34EBB09C"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Mientras tanto, los Bonos Tasa Fija Bono M disminuyeron su participación al pasar de 41.6% a 40.6%, al igual que los Bondes D que pasaron de 5.4% a 2.3%. Con respecto al perfil de amortizaciones de la deuda interna del Gobierno Federal, de acuerdo con su saldo contractual registrado al 31 de diciembre de 2023, se espera que, durante 2024, las amortizaciones alcancen un monto de 2 billones 95 mil 479.2 millones de pesos. </w:t>
      </w:r>
    </w:p>
    <w:p w14:paraId="3264BD7C"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Del total de amortizaciones, 1 billón 157 mil 603.7 millones de pesos sin incluir Cetes, se encuentran asociadas a los vencimientos de valores gubernamentales, cuyo refinanciamiento se realizará a través del programa de subastas que lleva a cabo el Gobierno Federal.</w:t>
      </w:r>
    </w:p>
    <w:p w14:paraId="1016F91A"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 pesar de encontrarse fuera del trimestre reportado, es importante mencionar que el 17 de enero de 2024, la SHCP realizó el primer intercambio de deuda del año por 110 mil millones de pesos como parte de la política de refinanciamiento del Gobierno Federal del mercado local. La operación consistió en la recompra de instrumentos de Cetes y Bondes F con vencimiento en 2024 y la realización de una venta a mayor plazo de estos instrumentos.</w:t>
      </w:r>
    </w:p>
    <w:p w14:paraId="46B13C61"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Al cierre de 2023, el saldo de la deuda externa neta del Gobierno Federal fue de 118 mil 844.6 millones de dólares. La evolución de la deuda externa neta del Gobierno Federal durante el periodo enero a diciembre de 2023 fue resultado de los siguientes factores: </w:t>
      </w:r>
    </w:p>
    <w:p w14:paraId="23260412"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sym w:font="Symbol" w:char="F0B7"/>
      </w:r>
      <w:r>
        <w:rPr>
          <w:rFonts w:ascii="Arial" w:hAnsi="Arial" w:cs="Arial"/>
          <w:sz w:val="18"/>
          <w:szCs w:val="18"/>
        </w:rPr>
        <w:t xml:space="preserve"> Endeudamiento externo neto de 3 mil 318.8 millones de dólares, derivado de disposiciones por 7 mil 677.1 millones de dólares y amortizaciones por 4 mil 358.3 millones de dólares. </w:t>
      </w:r>
    </w:p>
    <w:p w14:paraId="5F2376C9"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sym w:font="Symbol" w:char="F0B7"/>
      </w:r>
      <w:r>
        <w:rPr>
          <w:rFonts w:ascii="Arial" w:hAnsi="Arial" w:cs="Arial"/>
          <w:sz w:val="18"/>
          <w:szCs w:val="18"/>
        </w:rPr>
        <w:t xml:space="preserve"> Disminución de los activos internacionales del Gobierno Federal asociados a la deuda externa por 64.7 millones de dólares con respecto al cierre de 2022. Este cambio se debe a la variación en el saldo neto denominado en dólares de la Cuenta General de la Tesorería de la Federación.</w:t>
      </w:r>
    </w:p>
    <w:p w14:paraId="49B9F79D"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sym w:font="Symbol" w:char="F0B7"/>
      </w:r>
      <w:r>
        <w:rPr>
          <w:rFonts w:ascii="Arial" w:hAnsi="Arial" w:cs="Arial"/>
          <w:sz w:val="18"/>
          <w:szCs w:val="18"/>
        </w:rPr>
        <w:t xml:space="preserve"> Ajustes contables positivos por 523.1 millones de dólares, derivados de la variación del dólar con respecto a otras monedas en las que se encuentra contratada la deuda.</w:t>
      </w:r>
    </w:p>
    <w:p w14:paraId="55CC68FE"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Las amortizaciones de la deuda externa del Gobierno Federal durante 2024, con base en su saldo contractual al 31 de diciembre de 2023, serán por 3 mil 265.3 millones de dólares, los cuales se encuentran asociados, principalmente, a los vencimientos de créditos contratados con los Organismos Financieros Internacionales (</w:t>
      </w:r>
      <w:proofErr w:type="spellStart"/>
      <w:r>
        <w:rPr>
          <w:rFonts w:ascii="Arial" w:hAnsi="Arial" w:cs="Arial"/>
          <w:sz w:val="18"/>
          <w:szCs w:val="18"/>
        </w:rPr>
        <w:t>OFIs</w:t>
      </w:r>
      <w:proofErr w:type="spellEnd"/>
      <w:r>
        <w:rPr>
          <w:rFonts w:ascii="Arial" w:hAnsi="Arial" w:cs="Arial"/>
          <w:sz w:val="18"/>
          <w:szCs w:val="18"/>
        </w:rPr>
        <w:t>).</w:t>
      </w:r>
    </w:p>
    <w:p w14:paraId="6C43B52B"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En el último trimestre de 2023 no se realizaron emisiones de bonos en los mercados financieros internacionales, en línea con el compromiso de utilizar el crédito externo como fuente de financiamiento complementaria, sólo cuando se puedan alcanzar condiciones favorables de financiamiento. En 2023 el Gobierno Federal llevó a cabo dos operaciones en el mercado internacional, por un monto total de 6 mil 941 millones de dólares. con el objetivo de continuar con mejoras en el perfil de vencimientos de la deuda externa de mercado. Además, se intercambiaron bonos sin etiquetar por una nueva referencia ASG y se logró un desendeudamiento del portafolio de deuda externa por 368 millones de dólares.</w:t>
      </w:r>
    </w:p>
    <w:p w14:paraId="583D8EE7"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 pesar de encontrarse fuera del trimestre reportado, para mantener la transparencia en la información, es importante mencionar que el 2 de enero de 2024 la SHCP realizó la primera colocación del año en el mercado externo por 7 mil 500 millones de dólares. La transacción consistió en bonos a 5, 12 y 30 años, con tasas de rendimiento de 5.07%, 6.09% y 6.45%, y cupón de 5.00%, 6.00% y 6.40%, respectivamente. Esta operación mejoró la liquidez y eficiencia de la curva de rendimiento de los bonos en dólares.</w:t>
      </w:r>
    </w:p>
    <w:p w14:paraId="37C02929"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El 18 de enero, se realizó la colocación de un bono sostenible, por un monto de 2 mil millones de euros a un plazo de 8 años y con una tasa cupón del 4.49%. A la fecha, esta operación es la emisión sostenible con mayor demanda en el mercado de euros y, con ella, se completó el desarrollo de la curva sostenible a corto, mediano y largo plazo en euros. La emisión se basó en la lista de Gastos Elegibles de 2024, acorde con estándares internacionales y las mejores prácticas. Con esta emisión el Gobierno de México reafirmó su liderazgo y compromiso con las finanzas sostenibles.</w:t>
      </w:r>
    </w:p>
    <w:p w14:paraId="7CC901E6"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lastRenderedPageBreak/>
        <w:t>En el cuarto trimestre de 2023, el Gobierno Federal realizó erogaciones por concepto de costo financiero neto total de su deuda por 269 mil 287.1 millones de pesos (Ramo 24). Con ello, el total de pagos durante el periodo de enero a diciembre de 2023 por dicho concepto ascendió a 823 mil 974.3 millones de pesos. Esta cifra comprende erogaciones por 753 mil 194.6 millones de pesos para el pago de intereses y gastos asociados a la deuda interna, la cual incluye un monto de 7 mil 500.3 millones de pesos para el pago anticipado de intereses derivados del intercambio de deuda a través de las operaciones de permuta de deuda, así como erogaciones por un monto de 5 mil 637.5 millones de dólares para cubrir el pago por concepto de intereses, comisiones y gastos asociados principalmente a la deuda externa.</w:t>
      </w:r>
    </w:p>
    <w:p w14:paraId="24143A13"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Adicionalmente, en el cuarto trimestre de 2023, el Gobierno Federal no realizó erogaciones para los Programas de Apoyo a Ahorradores y Deudores de la Banca (Ramo 34), por lo que, el total pagado por este concepto en el periodo de enero a diciembre de 2023 fue de 54 mil 216.5 millones de pesos. Estos recursos se destinaron al Programa de Apoyo a Ahorradores a través del IPAB.</w:t>
      </w:r>
    </w:p>
    <w:p w14:paraId="4734214C"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La estrategia de gestión del portafolio de deuda priorizó la contratación de deuda en el mercado interno, a tasas de interés fijas y de largo plazo. Asimismo, se implementó una gestión de riesgos, mediante la diversificación del portafolio de deuda y la implementación de un programa de coberturas. Lo anterior, mantuvo acotada la sensibilidad del costo financiero de la deuda ante aumentos en la tasa de interés, hecho que fortaleció al portafolio de deuda y mitigó la volatilidad en el servicio de la deuda, tanto en el corto como en el mediano plazo. </w:t>
      </w:r>
    </w:p>
    <w:p w14:paraId="110E2AE4"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Las tasas implícitas de costo financiero estimadas en el cuarto trimestre de 2023 fueron de 7.09, 7.50 y 5.13% para la deuda total, deuda interna y deuda externa, respectivamente.</w:t>
      </w:r>
    </w:p>
    <w:p w14:paraId="1EAD0817"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Al término del cuarto trimestre de 2023, el saldo de la deuda con garantía explícita del Gobierno Federal se ubicó en 319 mil 297.9 millones de pesos, monto superior en 10 mil 999.4 millones de pesos al observado al cierre del año anterior. Dentro de los Programas de Apoyo a Deudores se encontró el Programa de Reestructuración en </w:t>
      </w:r>
      <w:proofErr w:type="spellStart"/>
      <w:r>
        <w:rPr>
          <w:rFonts w:ascii="Arial" w:hAnsi="Arial" w:cs="Arial"/>
          <w:sz w:val="18"/>
          <w:szCs w:val="18"/>
        </w:rPr>
        <w:t>Udis</w:t>
      </w:r>
      <w:proofErr w:type="spellEnd"/>
      <w:r>
        <w:rPr>
          <w:rFonts w:ascii="Arial" w:hAnsi="Arial" w:cs="Arial"/>
          <w:sz w:val="18"/>
          <w:szCs w:val="18"/>
        </w:rPr>
        <w:t xml:space="preserve">, mediante el cual se ofrecieron tasas reales fijas a los acreditados durante toda la vida de sus créditos, lo que requirió que el Gobierno Federal realizara un intercambio entre esta tasa y una tasa nominal de mercado. </w:t>
      </w:r>
    </w:p>
    <w:p w14:paraId="22821398"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Al 31 de diciembre de 2023, el resultado preliminar de este intercambio ascendió a 28 mil 486.7 millones de pesos, mismos que no están incorporados en las obligaciones garantizadas reportadas por el Gobierno Federal, ya que su evolución futura es contingente al comportamiento de las tasas de interés.</w:t>
      </w:r>
    </w:p>
    <w:p w14:paraId="0DC3BC7D"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Al finalizar el cuarto trimestre de 2023, el saldo de la deuda interna neta del Sector Público se ubicó en 11 billones 250 mil 462 millones de pesos. La variación de este saldo al cierre de 2023, respecto al de 2022, fue el resultado de los siguientes factores: i) un endeudamiento interno neto por 1 billón 308 mil 165.2 millones de pesos; ii) una variación positiva en los activos internos del Sector Público por 11 mil 372.6 millones de pesos y iii) ajustes contables positivos por 127 mil 231.2 millones de pesos, que reflejaron, principalmente, el efecto inflacionario sobre los pasivos indizados a esta variable y operaciones de permuta de deuda.</w:t>
      </w:r>
    </w:p>
    <w:p w14:paraId="3326769F"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Con base en el saldo contractual de la deuda interna del Sector Público registrado al 31 de diciembre de 2023, las amortizaciones durante el año 2024 serán de 2 billones 357 mil 601.8 millones de pesos. De este monto, el 93.4% se encuentra asociado a los vencimientos de valores colocados en los mercados nacionales.</w:t>
      </w:r>
    </w:p>
    <w:p w14:paraId="01922354"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Al término del cuarto trimestre de 2023, el saldo de la deuda externa neta del Sector Público se ubicó en 213 mil 76.5 millones de dólares. La evolución de la deuda externa neta del Sector Público fue resultado de los siguientes factores: i) un desendeudamiento externo neto de 3 mil 707.2 millones de dólares; ii) los activos internacionales del Sector Público asociados a la deuda externa presentaron una variación positiva de 762.4 millones de dólares, y iii) ajustes contables positivos por 1 mil 28.9 millones de dólares, que reflejaron, principalmente, la variación del dólar con respecto a otras monedas en las que se encuentra contratada la deuda y operaciones por recompra de deuda.</w:t>
      </w:r>
    </w:p>
    <w:p w14:paraId="704E67A2"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Con base en el saldo contractual de la deuda externa del Sector Público registrado al 31 de diciembre de 2023, las amortizaciones durante el año 2024 sumarán un monto de 16 mil 542.6 millones de dólares. De esta cifra, 20.9% se encuentra asociado a las amortizaciones proyectadas de los vencimientos de deuda de mercado de capitales; 61.0% a créditos directos y pasivos </w:t>
      </w:r>
      <w:proofErr w:type="spellStart"/>
      <w:r>
        <w:rPr>
          <w:rFonts w:ascii="Arial" w:hAnsi="Arial" w:cs="Arial"/>
          <w:sz w:val="18"/>
          <w:szCs w:val="18"/>
        </w:rPr>
        <w:t>Pidiregas</w:t>
      </w:r>
      <w:proofErr w:type="spellEnd"/>
      <w:r>
        <w:rPr>
          <w:rFonts w:ascii="Arial" w:hAnsi="Arial" w:cs="Arial"/>
          <w:sz w:val="18"/>
          <w:szCs w:val="18"/>
        </w:rPr>
        <w:t xml:space="preserve">; y 18.1%, se refiere a las amortizaciones de líneas vinculadas al comercio exterior y a vencimientos de deuda con </w:t>
      </w:r>
      <w:proofErr w:type="spellStart"/>
      <w:r>
        <w:rPr>
          <w:rFonts w:ascii="Arial" w:hAnsi="Arial" w:cs="Arial"/>
          <w:sz w:val="18"/>
          <w:szCs w:val="18"/>
        </w:rPr>
        <w:t>OFIs</w:t>
      </w:r>
      <w:proofErr w:type="spellEnd"/>
      <w:r>
        <w:rPr>
          <w:rFonts w:ascii="Arial" w:hAnsi="Arial" w:cs="Arial"/>
          <w:sz w:val="18"/>
          <w:szCs w:val="18"/>
        </w:rPr>
        <w:t>.</w:t>
      </w:r>
    </w:p>
    <w:p w14:paraId="68D1B400"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lastRenderedPageBreak/>
        <w:t>De enero a diciembre de 2023, el Sector Público realizó erogaciones por concepto de costo financiero de su deuda pública interna por un monto de 814 mil 908.7 millones de pesos. Por otra parte, durante el mismo periodo se efectuaron erogaciones por un monto de 12 mil 301.2 millones de dólares para cubrir el pago por concepto de intereses, comisiones y gastos asociados a la deuda pública externa. En los Apéndices Estadísticos de Finanzas Públicas y Deuda Pública del presente Informe, en los cuadros I.52 y I.53 se incluye el detalle del costo financiero de la deuda del Sector Público.</w:t>
      </w:r>
    </w:p>
    <w:p w14:paraId="450AAB13"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Finalmente, cabe señalar que el nivel de deuda pública es moderado como proporción del PIB anual, lo cual se compara favorablemente con respecto a los niveles que mantienen otras economías emergentes y de América Latina. Asimismo, este nivel de endeudamiento es congruente con los techos de endeudamiento aprobados por el H. Congreso de la Unión.</w:t>
      </w:r>
    </w:p>
    <w:p w14:paraId="6EF6970C"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El SHRFSP representa el acervo neto de las obligaciones contraídas para alcanzar los objetivos de las políticas públicas, tanto de las entidades adscritas al Sector Público como de las entidades privadas que actúan por cuenta del Gobierno Federal. Es decir, pasivos menos activos financieros disponibles, por concesión de préstamos y por fondos para la amortización de la deuda como reflejo de la trayectoria anual observada a lo largo del tiempo de los RFSP. </w:t>
      </w:r>
    </w:p>
    <w:p w14:paraId="74BA5579"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El SHRFSP agrupa la deuda neta del Sector Público presupuestario (Gobierno Federal y Entidades de control directo), las obligaciones netas del IPAB, los pasivos del </w:t>
      </w:r>
      <w:proofErr w:type="spellStart"/>
      <w:r>
        <w:rPr>
          <w:rFonts w:ascii="Arial" w:hAnsi="Arial" w:cs="Arial"/>
          <w:sz w:val="18"/>
          <w:szCs w:val="18"/>
        </w:rPr>
        <w:t>Fonadin</w:t>
      </w:r>
      <w:proofErr w:type="spellEnd"/>
      <w:r>
        <w:rPr>
          <w:rFonts w:ascii="Arial" w:hAnsi="Arial" w:cs="Arial"/>
          <w:sz w:val="18"/>
          <w:szCs w:val="18"/>
        </w:rPr>
        <w:t xml:space="preserve">, los asociados a los </w:t>
      </w:r>
      <w:proofErr w:type="spellStart"/>
      <w:r>
        <w:rPr>
          <w:rFonts w:ascii="Arial" w:hAnsi="Arial" w:cs="Arial"/>
          <w:sz w:val="18"/>
          <w:szCs w:val="18"/>
        </w:rPr>
        <w:t>Pidiregas</w:t>
      </w:r>
      <w:proofErr w:type="spellEnd"/>
      <w:r>
        <w:rPr>
          <w:rFonts w:ascii="Arial" w:hAnsi="Arial" w:cs="Arial"/>
          <w:sz w:val="18"/>
          <w:szCs w:val="18"/>
        </w:rPr>
        <w:t xml:space="preserve"> y los correspondientes a los Programas de Apoyo a Deudores, así como el cambio en la situación patrimonial de las Instituciones de Fomento, y constituye la medida más amplia de deuda pública. </w:t>
      </w:r>
    </w:p>
    <w:p w14:paraId="33D2CC5E"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Al cierre del cuarto trimestre de 2023, el SHRFSP se ubicó en 14 billones 865 mil 528.5 millones de pesos. Respecto al cierre de 2022, incrementó en términos nominales por el efecto del endeudamiento neto, que fue aminorado parcialmente por la apreciación del tipo de cambio. Así, el componente interno del SHRFSP se ubicó en 11 billones 305 mil 926.2 millones de pesos y el componente externo fue de 210 mil 353.5 millones de dólares.</w:t>
      </w:r>
    </w:p>
    <w:p w14:paraId="777CE720"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En diciembre de 2023 la SHCP publicó el Plan Anual de Financiamiento (PAF) para 2024. Este documento da a conocer los principales elementos de la política de deuda pública del Gobierno Federal, las Empresas Productivas del Estado y otros emisores del Sector Público que acceden a los mercados de deuda. El Gobierno Federal consolidará en 2024 la estrategia de política de deuda que desarrolló durante la administración, a través de cinco pilares: </w:t>
      </w:r>
    </w:p>
    <w:p w14:paraId="71FABBDF"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1) cubrir las necesidades de financiamiento del Gobierno Federal, con un nivel de riesgo y costo adecuado; </w:t>
      </w:r>
    </w:p>
    <w:p w14:paraId="7B168073"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2) mejorar el perfil de vencimiento de deuda y sus características; </w:t>
      </w:r>
    </w:p>
    <w:p w14:paraId="32038A8D"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3) continuar con el desarrollo del mercado de Bonos Sostenibles; </w:t>
      </w:r>
    </w:p>
    <w:p w14:paraId="58026F9D"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4) realizar un manejo integral de los riesgos; y </w:t>
      </w:r>
    </w:p>
    <w:p w14:paraId="17B4A531"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5) mantener la sostenibilidad de la deuda pública. </w:t>
      </w:r>
    </w:p>
    <w:p w14:paraId="02CFE8A3"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Para 2024, el Gobierno Federal seguirá en busca de ventanas de oportunidad para obtener el financiamiento requerido. El principal mercado será el interno y de forma complementaria los mercados externos, siempre y cuando las condiciones sean favorables. Todo ello, con la intención de reducir la exposición del portafolio ante episodios de volatilidad. Con esta estrategia, se estima que el porcentaje de la deuda bruta externa respecto de la bruta total se reduzca de 22.7% en 2018 a 15.3% para 2024. Respecto a la deuda interna, se espera una participación de 79.6% de los valores a tasa fija y nominal y real de largo plazo, y un plazo promedio de vencimiento de la deuda interna de 7.7 años y de 18.9 años para la deuda externa de mercado. </w:t>
      </w:r>
    </w:p>
    <w:p w14:paraId="47FFC7EC"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Se espera que con estas acciones se mitigue el incremento en el costo financiero y se estima a un nivel de confianza de 0.95 que este no se incrementará más de 3.7% con relación a su valor esperado. El Gobierno Federal mantendrá la política de refinanciamiento y gestión de pasivos, con la intención de reducir los pagos de deuda para la siguiente administración, y mejorar el perfil de riesgo y costo del portafolio de deuda pública. Asimismo, continuará con el desarrollo del mercado de Bonos Sostenibles, con nuevas emisiones a distintos plazos para incrementar la base de inversionistas y tener acceso a un mayor capital en estos instrumentos.</w:t>
      </w:r>
    </w:p>
    <w:p w14:paraId="78502CF0"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lastRenderedPageBreak/>
        <w:t>Además, buscará mantener un portafolio diversificado e implementará una estrategia de gestión de riesgos, a través de instrumentos derivados para afrontar las variaciones en el precio del petróleo, el tipo de cambio y las tasas de interés. Las acciones mencionadas tienen como objetivo mantener la sostenibilidad de la deuda pública para propiciar la estabilidad económica. El Gobierno Federal impulsará una relación estrecha con los emisores recurrentes del Sector Público para coordinar su financiamiento, mientras que estas entidades mantendrán una comunicación activa con los participantes del mercado.</w:t>
      </w:r>
    </w:p>
    <w:p w14:paraId="38F5F7FE"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El Gobierno Federal mantendrá como principal fuente de financiamiento el mercado interno a través del programa de subastas de valores gubernamentales, cuidando las condiciones y desarrollo de los mercados financieros. El objetivo es fomentar el desarrollo de la curva de tasa de interés, tasas reales y promover la liquidez. El endeudamiento interno continuará con la estrategia de fortalecimiento de la Figura de Formadores de Mercado de Bonos y </w:t>
      </w:r>
      <w:proofErr w:type="spellStart"/>
      <w:r>
        <w:rPr>
          <w:rFonts w:ascii="Arial" w:hAnsi="Arial" w:cs="Arial"/>
          <w:sz w:val="18"/>
          <w:szCs w:val="18"/>
        </w:rPr>
        <w:t>Udibonos</w:t>
      </w:r>
      <w:proofErr w:type="spellEnd"/>
      <w:r>
        <w:rPr>
          <w:rFonts w:ascii="Arial" w:hAnsi="Arial" w:cs="Arial"/>
          <w:sz w:val="18"/>
          <w:szCs w:val="18"/>
        </w:rPr>
        <w:t xml:space="preserve">, con el fin de incentivar la liquidez y dar profundidad al mercado local, buscando en todo momento ventanas de oportunidad favorables y adaptándolas a las condiciones y evolución de los mercados. </w:t>
      </w:r>
    </w:p>
    <w:p w14:paraId="25C5EFB3"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Se considerará realizar subastas sindicadas y reaperturas de emisores vigentes para actualizar las referencias y mejorar los perfiles de vencimiento. Se mantendrá el anuncio de las subastas de cada instrumento en el Calendario Trimestral de Subastas de Valores Gubernamentales. Además, se continuará con el financiamiento sostenible, a través de emisiones tanto a tasa variable (Bondes G) como a tasa fija (Bonos S), con el objetivo de fortalecer las nuevas referencias sostenibles en el mercado local y aumentar la proporción de deuda local sostenible en el portafolio.</w:t>
      </w:r>
    </w:p>
    <w:p w14:paraId="73B0FF36"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Para garantizar la solidez de las finanzas públicas del país, se adaptará una postura reservada ante el manejo de pasivos y se considerarán solo oportunidades que beneficien el desendeudamiento neto, sin aumentar la tasa cupón promedio de los bonos del Gobierno Federal. El endeudamiento externo se mantiene como fuente secundaria de financiamiento, con el fin de mantener a la baja la proporción de deuda en moneda extranjera, y así mitigar el impacto de choques externos. La estrategia tiene como objetivo brindar flexibilidad al financiamiento del Gobierno Federal, por ello se dará preferencia a los mercados financieros internacionales cuando las condiciones del mercado sean favorables y aporten mayor liquidez.</w:t>
      </w:r>
    </w:p>
    <w:p w14:paraId="53645F86"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Los </w:t>
      </w:r>
      <w:proofErr w:type="spellStart"/>
      <w:r>
        <w:rPr>
          <w:rFonts w:ascii="Arial" w:hAnsi="Arial" w:cs="Arial"/>
          <w:sz w:val="18"/>
          <w:szCs w:val="18"/>
        </w:rPr>
        <w:t>Pidiregas</w:t>
      </w:r>
      <w:proofErr w:type="spellEnd"/>
      <w:r>
        <w:rPr>
          <w:rFonts w:ascii="Arial" w:hAnsi="Arial" w:cs="Arial"/>
          <w:sz w:val="18"/>
          <w:szCs w:val="18"/>
        </w:rPr>
        <w:t xml:space="preserve">, que forman parte de la inversión física impulsada por el Sector Público, se agrupan en: </w:t>
      </w:r>
    </w:p>
    <w:p w14:paraId="5167C9F1"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Los </w:t>
      </w:r>
      <w:proofErr w:type="spellStart"/>
      <w:r>
        <w:rPr>
          <w:rFonts w:ascii="Arial" w:hAnsi="Arial" w:cs="Arial"/>
          <w:sz w:val="18"/>
          <w:szCs w:val="18"/>
        </w:rPr>
        <w:t>Pidiregas</w:t>
      </w:r>
      <w:proofErr w:type="spellEnd"/>
      <w:r>
        <w:rPr>
          <w:rFonts w:ascii="Arial" w:hAnsi="Arial" w:cs="Arial"/>
          <w:sz w:val="18"/>
          <w:szCs w:val="18"/>
        </w:rPr>
        <w:t xml:space="preserve"> de inversión directa, que comprenden aquellos proyectos que en el tiempo constituirán inversión pública y que por tanto suponen adquirir obligaciones financieras que son registradas de conformidad con el artículo 18 de la Ley Federal de Deuda Pública y </w:t>
      </w:r>
    </w:p>
    <w:p w14:paraId="40BC4226"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Aquellos proyectos propiedad del sector privado y que implican únicamente compromisos comerciales, salvo que se presenten causas de fuerza mayor que impliquen su adquisición por el Sector Público. Con el objeto de ampliar y mejorar la información relativa a los pasivos asociados a los proyectos de inversión financiada, se incluye información del pasivo de los proyectos </w:t>
      </w:r>
      <w:proofErr w:type="spellStart"/>
      <w:r>
        <w:rPr>
          <w:rFonts w:ascii="Arial" w:hAnsi="Arial" w:cs="Arial"/>
          <w:sz w:val="18"/>
          <w:szCs w:val="18"/>
        </w:rPr>
        <w:t>Pidiregas</w:t>
      </w:r>
      <w:proofErr w:type="spellEnd"/>
      <w:r>
        <w:rPr>
          <w:rFonts w:ascii="Arial" w:hAnsi="Arial" w:cs="Arial"/>
          <w:sz w:val="18"/>
          <w:szCs w:val="18"/>
        </w:rPr>
        <w:t xml:space="preserve"> que, de acuerdo con la normatividad aplicable, han sido recibidos a satisfacción por la CFE, reflejándose por lo tanto en sus registros contables. </w:t>
      </w:r>
    </w:p>
    <w:p w14:paraId="3EA68CC8"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Cabe mencionar que, derivado del reconocimiento de los pasivos </w:t>
      </w:r>
      <w:proofErr w:type="spellStart"/>
      <w:r>
        <w:rPr>
          <w:rFonts w:ascii="Arial" w:hAnsi="Arial" w:cs="Arial"/>
          <w:sz w:val="18"/>
          <w:szCs w:val="18"/>
        </w:rPr>
        <w:t>Pidiregas</w:t>
      </w:r>
      <w:proofErr w:type="spellEnd"/>
      <w:r>
        <w:rPr>
          <w:rFonts w:ascii="Arial" w:hAnsi="Arial" w:cs="Arial"/>
          <w:sz w:val="18"/>
          <w:szCs w:val="18"/>
        </w:rPr>
        <w:t xml:space="preserve"> de Pemex como deuda directa en 2009, la única entidad que mantiene a la fecha este esquema es la CFE. Asimismo, en el rubro que se reporta como saldo del financiamiento obtenido por terceros, la entidad estimó los compromisos acumulados en dichos proyectos con base en los avances de obra y en los contratos respectivos. Estos compromisos se reflejarán en los balances de la entidad conforme los proyectos sean terminados y recibidos a completa satisfacción.</w:t>
      </w:r>
    </w:p>
    <w:p w14:paraId="6B9E967A"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El IPAB tiene como objetivo hacer frente a sus obligaciones financieras, principalmente a través de operaciones de refinanciamiento, con el menor impacto posible sobre las finanzas públicas, conservando el saldo de sus pasivos en una trayectoria sostenible y, por lo tanto, manteniendo expectativas razonables para los mercados financieros sobre el manejo de su deuda. </w:t>
      </w:r>
    </w:p>
    <w:p w14:paraId="134E2F9B"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A fin de instrumentar la estrategia antes planteada, al igual que en los ejercicios fiscales de 2000 a 2022, el Ejecutivo Federal solicitó la asignación, en el PEF para el 2023, de los recursos necesarios para hacer frente al componente real proyectado de la deuda neta del IPAB (deuda bruta menos recursos líquidos), considerando para ello los ingresos propios esperados del Instituto, por concepto del 75.0% de las cuotas que se reciben de la banca múltiple (Cuotas) y, en su caso, la recuperación de activos. </w:t>
      </w:r>
    </w:p>
    <w:p w14:paraId="41087356"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lastRenderedPageBreak/>
        <w:t>Asimismo, en el artículo 2o. de la LIF 2023, el H. Congreso de la Unión otorgó al Instituto la facultad de contratar créditos o emitir valores con el único objeto de canjear o refinanciar exclusivamente sus obligaciones financieras, a fin de hacer frente a sus obligaciones de pago, otorgar liquidez a sus títulos y, en general, mejorar los términos y condiciones de sus obligaciones financieras.</w:t>
      </w:r>
    </w:p>
    <w:p w14:paraId="5CB9658D"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Al 31 de diciembre de 2023, la deuda neta del Instituto ascendió a 993 mil 704 millones de pesos, registrando una disminución en términos reales de 1.34% respecto a diciembre de 2022. Esta disminución se explica principalmente por una menor tasa real observada en el periodo y la aplicación del 75.0% de las Cuotas. Por otra parte, el saldo de la deuda neta del Instituto al cierre del cuarto trimestre de 2023 representó el 2.93% del PIB, dato menor en 0.19 </w:t>
      </w:r>
      <w:proofErr w:type="spellStart"/>
      <w:r>
        <w:rPr>
          <w:rFonts w:ascii="Arial" w:hAnsi="Arial" w:cs="Arial"/>
          <w:sz w:val="18"/>
          <w:szCs w:val="18"/>
        </w:rPr>
        <w:t>pp</w:t>
      </w:r>
      <w:proofErr w:type="spellEnd"/>
      <w:r>
        <w:rPr>
          <w:rFonts w:ascii="Arial" w:hAnsi="Arial" w:cs="Arial"/>
          <w:sz w:val="18"/>
          <w:szCs w:val="18"/>
        </w:rPr>
        <w:t xml:space="preserve"> respecto al presentado al cierre del cuarto trimestre de 2022. </w:t>
      </w:r>
    </w:p>
    <w:p w14:paraId="0E5F7EB9"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En términos reales, el decremento de 0.19 </w:t>
      </w:r>
      <w:proofErr w:type="spellStart"/>
      <w:r>
        <w:rPr>
          <w:rFonts w:ascii="Arial" w:hAnsi="Arial" w:cs="Arial"/>
          <w:sz w:val="18"/>
          <w:szCs w:val="18"/>
        </w:rPr>
        <w:t>pp</w:t>
      </w:r>
      <w:proofErr w:type="spellEnd"/>
      <w:r>
        <w:rPr>
          <w:rFonts w:ascii="Arial" w:hAnsi="Arial" w:cs="Arial"/>
          <w:sz w:val="18"/>
          <w:szCs w:val="18"/>
        </w:rPr>
        <w:t xml:space="preserve"> se explica en 0.15 </w:t>
      </w:r>
      <w:proofErr w:type="spellStart"/>
      <w:r>
        <w:rPr>
          <w:rFonts w:ascii="Arial" w:hAnsi="Arial" w:cs="Arial"/>
          <w:sz w:val="18"/>
          <w:szCs w:val="18"/>
        </w:rPr>
        <w:t>pp</w:t>
      </w:r>
      <w:proofErr w:type="spellEnd"/>
      <w:r>
        <w:rPr>
          <w:rFonts w:ascii="Arial" w:hAnsi="Arial" w:cs="Arial"/>
          <w:sz w:val="18"/>
          <w:szCs w:val="18"/>
        </w:rPr>
        <w:t xml:space="preserve"> por el crecimiento estimado de la economía en términos reales de diciembre de 2022 a diciembre de 2023 y en 0.04 </w:t>
      </w:r>
      <w:proofErr w:type="spellStart"/>
      <w:r>
        <w:rPr>
          <w:rFonts w:ascii="Arial" w:hAnsi="Arial" w:cs="Arial"/>
          <w:sz w:val="18"/>
          <w:szCs w:val="18"/>
        </w:rPr>
        <w:t>pp</w:t>
      </w:r>
      <w:proofErr w:type="spellEnd"/>
      <w:r>
        <w:rPr>
          <w:rFonts w:ascii="Arial" w:hAnsi="Arial" w:cs="Arial"/>
          <w:sz w:val="18"/>
          <w:szCs w:val="18"/>
        </w:rPr>
        <w:t xml:space="preserve"> por el decrecimiento de la deuda del Instituto en términos reales.</w:t>
      </w:r>
    </w:p>
    <w:p w14:paraId="44C9EAA4"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Al cierre del cuarto trimestre de 2023, el saldo de los activos totales del Instituto ascendió a 184 mil 563 millones de pesos, cifra que presentó un aumento de 31.53% en términos reales, respecto al cierre de diciembre de 2022. Cabe destacar que, el saldo del Fondo de Protección al Ahorro Bancario al cierre de diciembre de 2023 ascendió a 87 mil 120 millones de pesos, lo que significó un incremento nominal de 24.62% y de 19.08% en términos reales respecto del mes de diciembre de 2022.</w:t>
      </w:r>
    </w:p>
    <w:p w14:paraId="3136AD1C"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Durante el cuarto trimestre de 2023, se recibieron recursos en el Instituto por un total de 76 mil 564 millones de pesos. Dichos recursos se componen de: i) 64 mil 4 millones de pesos correspondientes a operaciones de refinanciamiento a través de la colocación primaria y no competitiva de BPAS; ii) 8 mil 395 millones de pesos por concepto de Cuotas cobradas a las Instituciones de Banca Múltiple (IBM); iii) 4 mil 145 millones de pesos de intereses generados por la inversión de los activos líquidos del Instituto; iv) 19 millones de pesos de una recuperación por Pago de Obligaciones Garantizadas (POG); y, v) 1 millón de pesos de otros ingresos (devoluciones de recursos no empleados al POG, traspaso de intereses por saldo en cuenta, reembolso a la Reserva para Contingencias por Resoluciones Bancarias y ajuste al gasto de administración). </w:t>
      </w:r>
    </w:p>
    <w:p w14:paraId="0C151C9F"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Por su parte, los pagos realizados durante el mismo periodo ascendieron a 48 mil 467 millones de pesos, de los cuales 18 mil 200 millones de pesos corresponden a la amortización de Bonos; 30 mil 149 millones de pesos al pago de intereses de dichos Bonos; 118 millones de pesos a pagos relacionados con gastos de administración del Instituto y 0.2 millones de pesos al pago de gastos por resoluciones.</w:t>
      </w:r>
    </w:p>
    <w:p w14:paraId="57CF71E9"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Con estricto apego a la facultad de refinanciamiento del Instituto establecida en el artículo 2 antes referido y, conforme al programa de subastas dado a conocer al público inversionista el 29 de septiembre de 2023, el Instituto colocó Bonos de Protección al Ahorro (BPAS o Bonos) a través del Banco de México como su agente financiero. Dado lo anterior, el IPAB colocó instrumentos por un monto nominal de 63 mil 926 millones de pesos, de los cuales 63 mil 700 millones de pesos corresponden a subastas primarias y 226 millones de pesos a asignaciones no competitivas a través de la plataforma de </w:t>
      </w:r>
      <w:proofErr w:type="spellStart"/>
      <w:r>
        <w:rPr>
          <w:rFonts w:ascii="Arial" w:hAnsi="Arial" w:cs="Arial"/>
          <w:sz w:val="18"/>
          <w:szCs w:val="18"/>
        </w:rPr>
        <w:t>Cetesdirecto</w:t>
      </w:r>
      <w:proofErr w:type="spellEnd"/>
      <w:r>
        <w:rPr>
          <w:rFonts w:ascii="Arial" w:hAnsi="Arial" w:cs="Arial"/>
          <w:sz w:val="18"/>
          <w:szCs w:val="18"/>
        </w:rPr>
        <w:t xml:space="preserve">. </w:t>
      </w:r>
    </w:p>
    <w:p w14:paraId="7CBB52BD"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Además, amortizó emisiones primarias con un valor nominal de 18 mil 200 millones de pesos, con lo cual se presentó una colocación neta de 45 mil 726 millones de pesos. Las operaciones de refinanciamiento efectuadas durante el cuarto trimestre de 2023 contribuyeron con el objetivo estratégico del IPAB de hacer frente a sus obligaciones de pago de manera sostenible en el largo plazo.</w:t>
      </w:r>
    </w:p>
    <w:p w14:paraId="01A716BB"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Al cierre del cuarto trimestre de 2023, el plazo promedio de los pasivos del Instituto fue de 2.63 años, dato 0.02 años mayor al observado en el cuarto trimestre de 2022 (2.61 años), debido a que el porcentaje de la deuda con plazo mayor a 5 años ha tenido un ligero incremento. Por otra parte, el 15 de diciembre de 2023, el IPAB dio a conocer al público inversionista las subastas primarias programadas a realizar durante el primer trimestre de 2024; para el cual, mantuvo sin cambio el monto objetivo semanal a subastar respecto del cuarto trimestre de 2023, quedando en 4 mil 900 millones de pesos, distribuidos de la siguiente manera: 1 mil 700 millones de pesos de BPAG28 a plazo de hasta 3 años; 1 mil 700 millones de pesos de BPAG91 a plazo de hasta 5 años y 1 mil 500 millones de pesos de BPA182 a plazo de hasta 7 años.</w:t>
      </w:r>
    </w:p>
    <w:p w14:paraId="171699F3"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El Gobierno del Estado de Tlaxcala mantiene el compromiso de no contraer deuda pública que pudiese comprometer las finanzas públicas en el corto y mediano plazo, aunado a las medidas de austeridad republicana </w:t>
      </w:r>
      <w:r>
        <w:rPr>
          <w:rFonts w:ascii="Arial" w:hAnsi="Arial" w:cs="Arial"/>
          <w:sz w:val="18"/>
          <w:szCs w:val="18"/>
        </w:rPr>
        <w:lastRenderedPageBreak/>
        <w:t>implementadas por el Gobierno Federal, traduciéndose en un nivel de endeudamiento al cierre del ejercicio fiscal 2023 de $0.00, y al primer trimestre del ejercicio 2024 se continúa con un saldo de $0.00 de endeudamiento, manteniendo las finanzas del Gobierno del Estado sanas.</w:t>
      </w:r>
    </w:p>
    <w:p w14:paraId="0266AC4E" w14:textId="66609062"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w:t>
      </w:r>
    </w:p>
    <w:p w14:paraId="37ECE535"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En materia de deuda pública, se ha mantenido la política de no acceder a esquemas de financiamiento, con la finalidad de mantener sanas las finanzas estatales, más sin embargo se prevén acciones que permitan mejorar la capacidad crediticia de la Entidad para generar mecanismos adicionales de financiamiento de proyectos y la operación de servicios públicos estatales y municipales.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420656" w14:paraId="5D0B848C" w14:textId="77777777" w:rsidTr="009B66AA">
        <w:trPr>
          <w:trHeight w:val="1671"/>
        </w:trPr>
        <w:tc>
          <w:tcPr>
            <w:tcW w:w="9350" w:type="dxa"/>
            <w:gridSpan w:val="3"/>
          </w:tcPr>
          <w:p w14:paraId="1621F6EE" w14:textId="77777777" w:rsidR="00420656" w:rsidRDefault="00420656" w:rsidP="009B66AA">
            <w:pPr>
              <w:pStyle w:val="Texto"/>
              <w:spacing w:after="0" w:line="240" w:lineRule="exact"/>
              <w:ind w:firstLine="0"/>
              <w:rPr>
                <w:color w:val="000000"/>
                <w:szCs w:val="18"/>
              </w:rPr>
            </w:pPr>
          </w:p>
          <w:p w14:paraId="6BE41CE3" w14:textId="77777777" w:rsidR="00420656" w:rsidRDefault="00420656" w:rsidP="009B66AA">
            <w:pPr>
              <w:pStyle w:val="Texto"/>
              <w:spacing w:after="0" w:line="240" w:lineRule="exact"/>
              <w:ind w:firstLine="0"/>
              <w:rPr>
                <w:color w:val="000000"/>
                <w:szCs w:val="18"/>
              </w:rPr>
            </w:pPr>
          </w:p>
          <w:p w14:paraId="29351A31" w14:textId="77777777" w:rsidR="00420656" w:rsidRDefault="00420656" w:rsidP="009B66AA">
            <w:pPr>
              <w:pStyle w:val="Texto"/>
              <w:spacing w:after="0" w:line="240" w:lineRule="exact"/>
              <w:ind w:firstLine="0"/>
              <w:rPr>
                <w:color w:val="000000"/>
                <w:szCs w:val="18"/>
              </w:rPr>
            </w:pPr>
          </w:p>
          <w:p w14:paraId="753A88AA" w14:textId="77777777" w:rsidR="00420656" w:rsidRDefault="00420656" w:rsidP="009B66AA">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14:paraId="6199CACE" w14:textId="77777777" w:rsidR="00420656" w:rsidRDefault="00420656" w:rsidP="009B66AA">
            <w:pPr>
              <w:pStyle w:val="Texto"/>
              <w:spacing w:after="0" w:line="240" w:lineRule="exact"/>
              <w:ind w:firstLine="0"/>
              <w:rPr>
                <w:szCs w:val="18"/>
              </w:rPr>
            </w:pPr>
          </w:p>
          <w:p w14:paraId="64063426" w14:textId="77777777" w:rsidR="00420656" w:rsidRDefault="00420656" w:rsidP="009B66AA">
            <w:pPr>
              <w:pStyle w:val="Texto"/>
              <w:spacing w:after="0" w:line="240" w:lineRule="exact"/>
              <w:ind w:firstLine="0"/>
              <w:rPr>
                <w:szCs w:val="18"/>
              </w:rPr>
            </w:pPr>
          </w:p>
        </w:tc>
      </w:tr>
      <w:tr w:rsidR="00420656" w14:paraId="0B761C02" w14:textId="77777777" w:rsidTr="009B66AA">
        <w:tc>
          <w:tcPr>
            <w:tcW w:w="4106" w:type="dxa"/>
          </w:tcPr>
          <w:p w14:paraId="1DE8DA89" w14:textId="77777777" w:rsidR="00420656" w:rsidRDefault="00420656" w:rsidP="009B66AA">
            <w:pPr>
              <w:jc w:val="center"/>
              <w:rPr>
                <w:rFonts w:ascii="Arial" w:hAnsi="Arial" w:cs="Arial"/>
                <w:color w:val="000000"/>
                <w:sz w:val="18"/>
                <w:szCs w:val="18"/>
              </w:rPr>
            </w:pPr>
          </w:p>
          <w:p w14:paraId="09146DEC" w14:textId="77777777" w:rsidR="00420656" w:rsidRDefault="00420656" w:rsidP="009B66AA">
            <w:pPr>
              <w:jc w:val="center"/>
              <w:rPr>
                <w:rFonts w:ascii="Arial" w:hAnsi="Arial" w:cs="Arial"/>
                <w:color w:val="000000"/>
                <w:sz w:val="18"/>
                <w:szCs w:val="18"/>
              </w:rPr>
            </w:pPr>
          </w:p>
          <w:p w14:paraId="6FC9BA64" w14:textId="77777777" w:rsidR="00420656" w:rsidRDefault="00420656" w:rsidP="009B66AA">
            <w:pPr>
              <w:jc w:val="center"/>
              <w:rPr>
                <w:rFonts w:ascii="Arial" w:hAnsi="Arial" w:cs="Arial"/>
                <w:color w:val="000000"/>
                <w:sz w:val="18"/>
                <w:szCs w:val="18"/>
              </w:rPr>
            </w:pPr>
            <w:r>
              <w:rPr>
                <w:rFonts w:ascii="Arial" w:hAnsi="Arial" w:cs="Arial"/>
                <w:color w:val="000000"/>
                <w:sz w:val="18"/>
                <w:szCs w:val="18"/>
              </w:rPr>
              <w:t>_____________________________________</w:t>
            </w:r>
          </w:p>
          <w:p w14:paraId="29008F5B" w14:textId="77777777" w:rsidR="00420656" w:rsidRDefault="00420656" w:rsidP="009B66AA">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14:paraId="158867CF" w14:textId="77777777" w:rsidR="00420656" w:rsidRDefault="00420656" w:rsidP="009B66AA">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14:paraId="2D032A32" w14:textId="77777777" w:rsidR="00420656" w:rsidRDefault="00420656" w:rsidP="009B66AA">
            <w:pPr>
              <w:pStyle w:val="Texto"/>
              <w:spacing w:after="0" w:line="240" w:lineRule="exact"/>
              <w:ind w:firstLine="0"/>
              <w:jc w:val="center"/>
              <w:rPr>
                <w:szCs w:val="18"/>
              </w:rPr>
            </w:pPr>
          </w:p>
        </w:tc>
        <w:tc>
          <w:tcPr>
            <w:tcW w:w="1134" w:type="dxa"/>
          </w:tcPr>
          <w:p w14:paraId="6D768A44" w14:textId="77777777" w:rsidR="00420656" w:rsidRDefault="00420656" w:rsidP="009B66AA">
            <w:pPr>
              <w:pStyle w:val="Texto"/>
              <w:spacing w:after="0" w:line="240" w:lineRule="exact"/>
              <w:ind w:firstLine="0"/>
              <w:rPr>
                <w:szCs w:val="18"/>
              </w:rPr>
            </w:pPr>
          </w:p>
        </w:tc>
        <w:tc>
          <w:tcPr>
            <w:tcW w:w="4110" w:type="dxa"/>
          </w:tcPr>
          <w:p w14:paraId="77A34531" w14:textId="77777777" w:rsidR="00420656" w:rsidRPr="00F3142D" w:rsidRDefault="00420656" w:rsidP="009B66AA">
            <w:pPr>
              <w:pStyle w:val="Texto"/>
              <w:spacing w:after="0" w:line="240" w:lineRule="exact"/>
              <w:ind w:firstLine="0"/>
              <w:jc w:val="center"/>
              <w:rPr>
                <w:color w:val="000000"/>
                <w:szCs w:val="18"/>
              </w:rPr>
            </w:pPr>
          </w:p>
          <w:p w14:paraId="4DA2579F" w14:textId="77777777" w:rsidR="00420656" w:rsidRPr="00F3142D" w:rsidRDefault="00420656" w:rsidP="009B66AA">
            <w:pPr>
              <w:pStyle w:val="Texto"/>
              <w:spacing w:after="0" w:line="240" w:lineRule="exact"/>
              <w:ind w:firstLine="0"/>
              <w:jc w:val="center"/>
              <w:rPr>
                <w:color w:val="000000"/>
                <w:szCs w:val="18"/>
              </w:rPr>
            </w:pPr>
          </w:p>
          <w:p w14:paraId="68083B1D" w14:textId="77777777" w:rsidR="00420656" w:rsidRPr="00F3142D" w:rsidRDefault="00420656" w:rsidP="009B66AA">
            <w:pPr>
              <w:pStyle w:val="Texto"/>
              <w:spacing w:after="0" w:line="240" w:lineRule="exact"/>
              <w:ind w:firstLine="0"/>
              <w:jc w:val="center"/>
              <w:rPr>
                <w:color w:val="000000"/>
                <w:szCs w:val="18"/>
              </w:rPr>
            </w:pPr>
            <w:r w:rsidRPr="00F3142D">
              <w:rPr>
                <w:color w:val="000000"/>
                <w:szCs w:val="18"/>
              </w:rPr>
              <w:t>____________________________________</w:t>
            </w:r>
          </w:p>
          <w:p w14:paraId="1ED0A4E6" w14:textId="77777777" w:rsidR="00420656" w:rsidRPr="00F3142D" w:rsidRDefault="00420656" w:rsidP="009B66AA">
            <w:pPr>
              <w:pStyle w:val="Texto"/>
              <w:spacing w:after="0" w:line="240" w:lineRule="exact"/>
              <w:ind w:firstLine="0"/>
              <w:jc w:val="center"/>
              <w:rPr>
                <w:color w:val="000000"/>
                <w:szCs w:val="18"/>
              </w:rPr>
            </w:pPr>
            <w:r w:rsidRPr="00F3142D">
              <w:rPr>
                <w:color w:val="000000"/>
                <w:szCs w:val="18"/>
              </w:rPr>
              <w:t>C.P. Román Muñoz Calva</w:t>
            </w:r>
          </w:p>
          <w:p w14:paraId="4552CB78" w14:textId="77777777" w:rsidR="00420656" w:rsidRDefault="00420656" w:rsidP="009B66AA">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14:paraId="1454921D" w14:textId="77777777" w:rsidR="00420656" w:rsidRDefault="00420656" w:rsidP="009B66AA">
            <w:pPr>
              <w:pStyle w:val="Texto"/>
              <w:spacing w:after="0" w:line="240" w:lineRule="exact"/>
              <w:ind w:firstLine="0"/>
              <w:jc w:val="center"/>
              <w:rPr>
                <w:szCs w:val="18"/>
              </w:rPr>
            </w:pPr>
          </w:p>
        </w:tc>
      </w:tr>
    </w:tbl>
    <w:p w14:paraId="4D1D386A" w14:textId="77777777" w:rsidR="00420656" w:rsidRDefault="00420656" w:rsidP="00420656">
      <w:pPr>
        <w:pStyle w:val="Texto"/>
        <w:spacing w:after="0" w:line="240" w:lineRule="exact"/>
        <w:rPr>
          <w:szCs w:val="18"/>
        </w:rPr>
      </w:pPr>
    </w:p>
    <w:p w14:paraId="34C98F7F" w14:textId="77777777" w:rsidR="00C904BE" w:rsidRDefault="00C904BE" w:rsidP="00420656">
      <w:pPr>
        <w:pStyle w:val="Texto"/>
        <w:spacing w:after="0" w:line="240" w:lineRule="exact"/>
        <w:rPr>
          <w:szCs w:val="18"/>
        </w:rPr>
      </w:pPr>
    </w:p>
    <w:p w14:paraId="23A804FE" w14:textId="77777777" w:rsidR="00C904BE" w:rsidRDefault="00C904BE" w:rsidP="00420656">
      <w:pPr>
        <w:pStyle w:val="Texto"/>
        <w:spacing w:after="0" w:line="240" w:lineRule="exact"/>
        <w:rPr>
          <w:szCs w:val="18"/>
        </w:rPr>
      </w:pPr>
    </w:p>
    <w:p w14:paraId="0FC6E03F" w14:textId="77777777" w:rsidR="00C904BE" w:rsidRDefault="00C904BE" w:rsidP="00420656">
      <w:pPr>
        <w:pStyle w:val="Texto"/>
        <w:spacing w:after="0" w:line="240" w:lineRule="exact"/>
        <w:rPr>
          <w:szCs w:val="18"/>
        </w:rPr>
      </w:pPr>
    </w:p>
    <w:p w14:paraId="13CFA0C5" w14:textId="77777777" w:rsidR="00C904BE" w:rsidRDefault="00C904BE" w:rsidP="00420656">
      <w:pPr>
        <w:pStyle w:val="Texto"/>
        <w:spacing w:after="0" w:line="240" w:lineRule="exact"/>
        <w:rPr>
          <w:szCs w:val="18"/>
        </w:rPr>
      </w:pPr>
    </w:p>
    <w:p w14:paraId="73DA99DB" w14:textId="77777777" w:rsidR="00C904BE" w:rsidRDefault="00C904BE" w:rsidP="00420656">
      <w:pPr>
        <w:pStyle w:val="Texto"/>
        <w:spacing w:after="0" w:line="240" w:lineRule="exact"/>
        <w:rPr>
          <w:szCs w:val="18"/>
        </w:rPr>
      </w:pPr>
    </w:p>
    <w:p w14:paraId="481B9C35" w14:textId="77777777" w:rsidR="00C904BE" w:rsidRDefault="00C904BE" w:rsidP="00420656">
      <w:pPr>
        <w:pStyle w:val="Texto"/>
        <w:spacing w:after="0" w:line="240" w:lineRule="exact"/>
        <w:rPr>
          <w:szCs w:val="18"/>
        </w:rPr>
      </w:pPr>
    </w:p>
    <w:p w14:paraId="6C9F399F" w14:textId="77777777" w:rsidR="00C904BE" w:rsidRDefault="00C904BE" w:rsidP="00420656">
      <w:pPr>
        <w:pStyle w:val="Texto"/>
        <w:spacing w:after="0" w:line="240" w:lineRule="exact"/>
        <w:rPr>
          <w:szCs w:val="18"/>
        </w:rPr>
      </w:pPr>
    </w:p>
    <w:p w14:paraId="4776D185" w14:textId="77777777" w:rsidR="00C904BE" w:rsidRDefault="00C904BE" w:rsidP="00420656">
      <w:pPr>
        <w:pStyle w:val="Texto"/>
        <w:spacing w:after="0" w:line="240" w:lineRule="exact"/>
        <w:rPr>
          <w:szCs w:val="18"/>
        </w:rPr>
      </w:pPr>
    </w:p>
    <w:p w14:paraId="18DD9EB6" w14:textId="77777777" w:rsidR="00C904BE" w:rsidRDefault="00C904BE" w:rsidP="00420656">
      <w:pPr>
        <w:pStyle w:val="Texto"/>
        <w:spacing w:after="0" w:line="240" w:lineRule="exact"/>
        <w:rPr>
          <w:szCs w:val="18"/>
        </w:rPr>
      </w:pPr>
    </w:p>
    <w:p w14:paraId="70E0D260" w14:textId="77777777" w:rsidR="00C904BE" w:rsidRDefault="00C904BE" w:rsidP="00420656">
      <w:pPr>
        <w:pStyle w:val="Texto"/>
        <w:spacing w:after="0" w:line="240" w:lineRule="exact"/>
        <w:rPr>
          <w:szCs w:val="18"/>
        </w:rPr>
      </w:pPr>
    </w:p>
    <w:p w14:paraId="4B6C6ACE" w14:textId="77777777" w:rsidR="00C904BE" w:rsidRDefault="00C904BE" w:rsidP="00420656">
      <w:pPr>
        <w:pStyle w:val="Texto"/>
        <w:spacing w:after="0" w:line="240" w:lineRule="exact"/>
        <w:rPr>
          <w:szCs w:val="18"/>
        </w:rPr>
      </w:pPr>
    </w:p>
    <w:p w14:paraId="52C7AD58" w14:textId="77777777" w:rsidR="00C904BE" w:rsidRDefault="00C904BE" w:rsidP="00420656">
      <w:pPr>
        <w:pStyle w:val="Texto"/>
        <w:spacing w:after="0" w:line="240" w:lineRule="exact"/>
        <w:rPr>
          <w:szCs w:val="18"/>
        </w:rPr>
      </w:pPr>
    </w:p>
    <w:p w14:paraId="4C23C022" w14:textId="77777777" w:rsidR="00C904BE" w:rsidRDefault="00C904BE" w:rsidP="00420656">
      <w:pPr>
        <w:pStyle w:val="Texto"/>
        <w:spacing w:after="0" w:line="240" w:lineRule="exact"/>
        <w:rPr>
          <w:szCs w:val="18"/>
        </w:rPr>
      </w:pPr>
    </w:p>
    <w:p w14:paraId="056869B8" w14:textId="77777777" w:rsidR="00C904BE" w:rsidRDefault="00C904BE" w:rsidP="00420656">
      <w:pPr>
        <w:pStyle w:val="Texto"/>
        <w:spacing w:after="0" w:line="240" w:lineRule="exact"/>
        <w:rPr>
          <w:szCs w:val="18"/>
        </w:rPr>
      </w:pPr>
    </w:p>
    <w:p w14:paraId="214A1BAF" w14:textId="77777777" w:rsidR="00C904BE" w:rsidRDefault="00C904BE" w:rsidP="00420656">
      <w:pPr>
        <w:pStyle w:val="Texto"/>
        <w:spacing w:after="0" w:line="240" w:lineRule="exact"/>
        <w:rPr>
          <w:szCs w:val="18"/>
        </w:rPr>
      </w:pPr>
    </w:p>
    <w:p w14:paraId="3FEBF476" w14:textId="77777777" w:rsidR="00C904BE" w:rsidRDefault="00C904BE" w:rsidP="00420656">
      <w:pPr>
        <w:pStyle w:val="Texto"/>
        <w:spacing w:after="0" w:line="240" w:lineRule="exact"/>
        <w:rPr>
          <w:szCs w:val="18"/>
        </w:rPr>
      </w:pPr>
    </w:p>
    <w:p w14:paraId="6B99BBA6" w14:textId="77777777" w:rsidR="00C904BE" w:rsidRDefault="00C904BE" w:rsidP="00420656">
      <w:pPr>
        <w:pStyle w:val="Texto"/>
        <w:spacing w:after="0" w:line="240" w:lineRule="exact"/>
        <w:rPr>
          <w:szCs w:val="18"/>
        </w:rPr>
      </w:pPr>
    </w:p>
    <w:p w14:paraId="15C60CE9" w14:textId="77777777" w:rsidR="00C904BE" w:rsidRDefault="00C904BE" w:rsidP="00420656">
      <w:pPr>
        <w:pStyle w:val="Texto"/>
        <w:spacing w:after="0" w:line="240" w:lineRule="exact"/>
        <w:rPr>
          <w:szCs w:val="18"/>
        </w:rPr>
      </w:pPr>
    </w:p>
    <w:p w14:paraId="4FABEEC1" w14:textId="77777777" w:rsidR="00C904BE" w:rsidRDefault="00C904BE" w:rsidP="00420656">
      <w:pPr>
        <w:pStyle w:val="Texto"/>
        <w:spacing w:after="0" w:line="240" w:lineRule="exact"/>
        <w:rPr>
          <w:szCs w:val="18"/>
        </w:rPr>
      </w:pPr>
    </w:p>
    <w:p w14:paraId="3A4A3D15" w14:textId="77777777" w:rsidR="00C904BE" w:rsidRDefault="00C904BE" w:rsidP="00420656">
      <w:pPr>
        <w:pStyle w:val="Texto"/>
        <w:spacing w:after="0" w:line="240" w:lineRule="exact"/>
        <w:rPr>
          <w:szCs w:val="18"/>
        </w:rPr>
      </w:pPr>
    </w:p>
    <w:p w14:paraId="64BF84E9" w14:textId="77777777" w:rsidR="00C904BE" w:rsidRDefault="00C904BE" w:rsidP="00420656">
      <w:pPr>
        <w:pStyle w:val="Texto"/>
        <w:spacing w:after="0" w:line="240" w:lineRule="exact"/>
        <w:rPr>
          <w:szCs w:val="18"/>
        </w:rPr>
      </w:pPr>
    </w:p>
    <w:p w14:paraId="130FDD6A" w14:textId="77777777" w:rsidR="00C904BE" w:rsidRDefault="00C904BE" w:rsidP="00420656">
      <w:pPr>
        <w:pStyle w:val="Texto"/>
        <w:spacing w:after="0" w:line="240" w:lineRule="exact"/>
        <w:rPr>
          <w:szCs w:val="18"/>
        </w:rPr>
      </w:pPr>
    </w:p>
    <w:p w14:paraId="41D1EC6B" w14:textId="77777777" w:rsidR="00C904BE" w:rsidRDefault="00C904BE" w:rsidP="00420656">
      <w:pPr>
        <w:pStyle w:val="Texto"/>
        <w:spacing w:after="0" w:line="240" w:lineRule="exact"/>
        <w:rPr>
          <w:szCs w:val="18"/>
        </w:rPr>
      </w:pPr>
    </w:p>
    <w:p w14:paraId="7CD5CB8D" w14:textId="77777777" w:rsidR="00C904BE" w:rsidRDefault="00C904BE" w:rsidP="00420656">
      <w:pPr>
        <w:pStyle w:val="Texto"/>
        <w:spacing w:after="0" w:line="240" w:lineRule="exact"/>
        <w:rPr>
          <w:szCs w:val="18"/>
        </w:rPr>
      </w:pPr>
    </w:p>
    <w:p w14:paraId="563BB1E5" w14:textId="77777777" w:rsidR="00C904BE" w:rsidRDefault="00C904BE" w:rsidP="00420656">
      <w:pPr>
        <w:pStyle w:val="Texto"/>
        <w:spacing w:after="0" w:line="240" w:lineRule="exact"/>
        <w:rPr>
          <w:szCs w:val="18"/>
        </w:rPr>
      </w:pPr>
    </w:p>
    <w:p w14:paraId="516B3916" w14:textId="77777777" w:rsidR="00C904BE" w:rsidRDefault="00C904BE" w:rsidP="00420656">
      <w:pPr>
        <w:pStyle w:val="Texto"/>
        <w:spacing w:after="0" w:line="240" w:lineRule="exact"/>
        <w:rPr>
          <w:szCs w:val="18"/>
        </w:rPr>
      </w:pPr>
    </w:p>
    <w:p w14:paraId="734E493A" w14:textId="77777777" w:rsidR="00C904BE" w:rsidRDefault="00C904BE" w:rsidP="00420656">
      <w:pPr>
        <w:pStyle w:val="Texto"/>
        <w:spacing w:after="0" w:line="240" w:lineRule="exact"/>
        <w:rPr>
          <w:szCs w:val="18"/>
        </w:rPr>
      </w:pPr>
    </w:p>
    <w:p w14:paraId="767E0308" w14:textId="77777777" w:rsidR="00C904BE" w:rsidRDefault="00C904BE" w:rsidP="00420656">
      <w:pPr>
        <w:pStyle w:val="Texto"/>
        <w:spacing w:after="0" w:line="240" w:lineRule="exact"/>
        <w:rPr>
          <w:szCs w:val="18"/>
        </w:rPr>
      </w:pPr>
    </w:p>
    <w:p w14:paraId="582C8EEA" w14:textId="77777777" w:rsidR="00C904BE" w:rsidRDefault="00C904BE" w:rsidP="00420656">
      <w:pPr>
        <w:pStyle w:val="Texto"/>
        <w:spacing w:after="0" w:line="240" w:lineRule="exact"/>
        <w:rPr>
          <w:szCs w:val="18"/>
        </w:rPr>
      </w:pPr>
    </w:p>
    <w:p w14:paraId="2E86C3F0" w14:textId="77777777" w:rsidR="00C904BE" w:rsidRDefault="00C904BE" w:rsidP="00420656">
      <w:pPr>
        <w:pStyle w:val="Texto"/>
        <w:spacing w:after="0" w:line="240" w:lineRule="exact"/>
        <w:rPr>
          <w:szCs w:val="18"/>
        </w:rPr>
      </w:pPr>
    </w:p>
    <w:p w14:paraId="3D81C71F" w14:textId="77777777" w:rsidR="00C904BE" w:rsidRDefault="00C904BE" w:rsidP="00420656">
      <w:pPr>
        <w:pStyle w:val="Texto"/>
        <w:spacing w:after="0" w:line="240" w:lineRule="exact"/>
        <w:rPr>
          <w:szCs w:val="18"/>
        </w:rPr>
      </w:pPr>
    </w:p>
    <w:p w14:paraId="1B97E153" w14:textId="77777777" w:rsidR="00C904BE" w:rsidRDefault="00C904BE" w:rsidP="00420656">
      <w:pPr>
        <w:pStyle w:val="Texto"/>
        <w:spacing w:after="0" w:line="240" w:lineRule="exact"/>
        <w:rPr>
          <w:szCs w:val="18"/>
        </w:rPr>
      </w:pPr>
    </w:p>
    <w:p w14:paraId="590ECF93" w14:textId="77777777" w:rsidR="00C904BE" w:rsidRDefault="00C904BE" w:rsidP="00420656">
      <w:pPr>
        <w:pStyle w:val="Texto"/>
        <w:spacing w:after="0" w:line="240" w:lineRule="exact"/>
        <w:rPr>
          <w:szCs w:val="18"/>
        </w:rPr>
      </w:pPr>
    </w:p>
    <w:p w14:paraId="6FAFAACC" w14:textId="77777777" w:rsidR="00C904BE" w:rsidRDefault="00C904BE" w:rsidP="00420656">
      <w:pPr>
        <w:pStyle w:val="Texto"/>
        <w:spacing w:after="0" w:line="240" w:lineRule="exact"/>
        <w:rPr>
          <w:szCs w:val="18"/>
        </w:rPr>
      </w:pPr>
    </w:p>
    <w:p w14:paraId="27DC6043" w14:textId="77777777" w:rsidR="00C904BE" w:rsidRDefault="00C904BE" w:rsidP="00420656">
      <w:pPr>
        <w:pStyle w:val="Texto"/>
        <w:spacing w:after="0" w:line="240" w:lineRule="exact"/>
        <w:rPr>
          <w:szCs w:val="18"/>
        </w:rPr>
      </w:pPr>
    </w:p>
    <w:p w14:paraId="735B35F6" w14:textId="77777777" w:rsidR="00C904BE" w:rsidRDefault="00C904BE" w:rsidP="00420656">
      <w:pPr>
        <w:pStyle w:val="Texto"/>
        <w:spacing w:after="0" w:line="240" w:lineRule="exact"/>
        <w:rPr>
          <w:szCs w:val="18"/>
        </w:rPr>
      </w:pPr>
    </w:p>
    <w:p w14:paraId="557CC15B" w14:textId="77777777" w:rsidR="00DD29C2" w:rsidRDefault="00DD29C2" w:rsidP="00420656">
      <w:pPr>
        <w:pStyle w:val="Texto"/>
        <w:spacing w:after="0" w:line="240" w:lineRule="exact"/>
        <w:rPr>
          <w:szCs w:val="18"/>
        </w:rPr>
      </w:pPr>
    </w:p>
    <w:p w14:paraId="2CEF5773" w14:textId="77777777" w:rsidR="00332091" w:rsidRPr="0073056A" w:rsidRDefault="00332091" w:rsidP="00332091">
      <w:pPr>
        <w:pStyle w:val="Texto"/>
        <w:spacing w:after="0" w:line="276" w:lineRule="auto"/>
        <w:jc w:val="center"/>
        <w:rPr>
          <w:b/>
          <w:szCs w:val="18"/>
        </w:rPr>
      </w:pPr>
      <w:r w:rsidRPr="0073056A">
        <w:rPr>
          <w:b/>
          <w:szCs w:val="18"/>
        </w:rPr>
        <w:t>NOTAS A LOS ESTADOS FINANCIEROS</w:t>
      </w:r>
    </w:p>
    <w:p w14:paraId="74FAAE24" w14:textId="77777777" w:rsidR="00332091" w:rsidRDefault="00332091" w:rsidP="00332091">
      <w:pPr>
        <w:pStyle w:val="Texto"/>
        <w:spacing w:after="0" w:line="276" w:lineRule="auto"/>
        <w:jc w:val="center"/>
        <w:rPr>
          <w:b/>
          <w:szCs w:val="18"/>
        </w:rPr>
      </w:pPr>
    </w:p>
    <w:p w14:paraId="4FF79356" w14:textId="77777777" w:rsidR="00332091" w:rsidRPr="0073056A" w:rsidRDefault="00332091" w:rsidP="00332091">
      <w:pPr>
        <w:pStyle w:val="Texto"/>
        <w:spacing w:after="0" w:line="276" w:lineRule="auto"/>
        <w:jc w:val="center"/>
        <w:rPr>
          <w:szCs w:val="18"/>
        </w:rPr>
      </w:pPr>
      <w:r w:rsidRPr="0073056A">
        <w:rPr>
          <w:b/>
          <w:szCs w:val="18"/>
        </w:rPr>
        <w:t>a) NOTAS DE DESGLOSE</w:t>
      </w:r>
    </w:p>
    <w:p w14:paraId="67DC389C" w14:textId="77777777" w:rsidR="00332091" w:rsidRDefault="00332091" w:rsidP="00332091">
      <w:pPr>
        <w:pStyle w:val="Texto"/>
        <w:spacing w:after="0" w:line="276" w:lineRule="auto"/>
        <w:rPr>
          <w:szCs w:val="18"/>
          <w:lang w:val="es-MX"/>
        </w:rPr>
      </w:pPr>
    </w:p>
    <w:p w14:paraId="432E3375" w14:textId="5BA695E7" w:rsidR="00332091" w:rsidRPr="0073056A" w:rsidRDefault="00332091" w:rsidP="00332091">
      <w:pPr>
        <w:pStyle w:val="INCISO"/>
        <w:tabs>
          <w:tab w:val="left" w:pos="284"/>
        </w:tabs>
        <w:spacing w:after="0" w:line="276" w:lineRule="auto"/>
        <w:ind w:left="284" w:firstLine="0"/>
        <w:rPr>
          <w:b/>
          <w:smallCaps/>
        </w:rPr>
      </w:pPr>
      <w:r w:rsidRPr="0073056A">
        <w:rPr>
          <w:b/>
          <w:smallCaps/>
        </w:rPr>
        <w:t>I)</w:t>
      </w:r>
      <w:r w:rsidRPr="0073056A">
        <w:rPr>
          <w:b/>
          <w:smallCaps/>
        </w:rPr>
        <w:tab/>
        <w:t>Notas al Estado de Actividades</w:t>
      </w:r>
    </w:p>
    <w:p w14:paraId="5E78E811" w14:textId="77777777" w:rsidR="00332091" w:rsidRPr="0073056A" w:rsidRDefault="00332091" w:rsidP="00332091">
      <w:pPr>
        <w:pStyle w:val="INCISO"/>
        <w:tabs>
          <w:tab w:val="left" w:pos="284"/>
        </w:tabs>
        <w:spacing w:after="0" w:line="276" w:lineRule="auto"/>
        <w:ind w:left="284" w:firstLine="0"/>
        <w:rPr>
          <w:b/>
          <w:smallCaps/>
        </w:rPr>
      </w:pPr>
    </w:p>
    <w:p w14:paraId="5F6BC8D6" w14:textId="309C3EB8"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5D1457">
        <w:rPr>
          <w:rFonts w:ascii="Arial" w:hAnsi="Arial" w:cs="Arial"/>
          <w:sz w:val="18"/>
          <w:szCs w:val="18"/>
          <w:lang w:val="es-ES"/>
        </w:rPr>
        <w:t>primer</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5D1457">
        <w:rPr>
          <w:rFonts w:ascii="Arial" w:hAnsi="Arial" w:cs="Arial"/>
          <w:sz w:val="18"/>
          <w:szCs w:val="18"/>
        </w:rPr>
        <w:t>4</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5D1457">
        <w:rPr>
          <w:rFonts w:ascii="Arial" w:hAnsi="Arial" w:cs="Arial"/>
          <w:sz w:val="18"/>
          <w:szCs w:val="18"/>
        </w:rPr>
        <w:t>6</w:t>
      </w:r>
      <w:r>
        <w:rPr>
          <w:rFonts w:ascii="Arial" w:hAnsi="Arial" w:cs="Arial"/>
          <w:sz w:val="18"/>
          <w:szCs w:val="18"/>
        </w:rPr>
        <w:t>,</w:t>
      </w:r>
      <w:r w:rsidR="005D1457">
        <w:rPr>
          <w:rFonts w:ascii="Arial" w:hAnsi="Arial" w:cs="Arial"/>
          <w:sz w:val="18"/>
          <w:szCs w:val="18"/>
        </w:rPr>
        <w:t>203</w:t>
      </w:r>
      <w:r>
        <w:rPr>
          <w:rFonts w:ascii="Arial" w:hAnsi="Arial" w:cs="Arial"/>
          <w:sz w:val="18"/>
          <w:szCs w:val="18"/>
        </w:rPr>
        <w:t>,</w:t>
      </w:r>
      <w:r w:rsidR="005D1457">
        <w:rPr>
          <w:rFonts w:ascii="Arial" w:hAnsi="Arial" w:cs="Arial"/>
          <w:sz w:val="18"/>
          <w:szCs w:val="18"/>
        </w:rPr>
        <w:t>5</w:t>
      </w:r>
      <w:r w:rsidR="00451C8F">
        <w:rPr>
          <w:rFonts w:ascii="Arial" w:hAnsi="Arial" w:cs="Arial"/>
          <w:sz w:val="18"/>
          <w:szCs w:val="18"/>
        </w:rPr>
        <w:t>6</w:t>
      </w:r>
      <w:r w:rsidR="005D1457">
        <w:rPr>
          <w:rFonts w:ascii="Arial" w:hAnsi="Arial" w:cs="Arial"/>
          <w:sz w:val="18"/>
          <w:szCs w:val="18"/>
        </w:rPr>
        <w:t>3</w:t>
      </w:r>
      <w:r>
        <w:rPr>
          <w:rFonts w:ascii="Arial" w:hAnsi="Arial" w:cs="Arial"/>
          <w:sz w:val="18"/>
          <w:szCs w:val="18"/>
        </w:rPr>
        <w:t>,</w:t>
      </w:r>
      <w:r w:rsidR="005D1457">
        <w:rPr>
          <w:rFonts w:ascii="Arial" w:hAnsi="Arial" w:cs="Arial"/>
          <w:sz w:val="18"/>
          <w:szCs w:val="18"/>
        </w:rPr>
        <w:t>251</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5D1457">
        <w:rPr>
          <w:rFonts w:ascii="Arial" w:hAnsi="Arial" w:cs="Arial"/>
          <w:sz w:val="18"/>
          <w:szCs w:val="18"/>
        </w:rPr>
        <w:t>4</w:t>
      </w:r>
      <w:r>
        <w:rPr>
          <w:rFonts w:ascii="Arial" w:hAnsi="Arial" w:cs="Arial"/>
          <w:sz w:val="18"/>
          <w:szCs w:val="18"/>
        </w:rPr>
        <w:t>,</w:t>
      </w:r>
      <w:r w:rsidR="005D1457">
        <w:rPr>
          <w:rFonts w:ascii="Arial" w:hAnsi="Arial" w:cs="Arial"/>
          <w:sz w:val="18"/>
          <w:szCs w:val="18"/>
        </w:rPr>
        <w:t>605</w:t>
      </w:r>
      <w:r>
        <w:rPr>
          <w:rFonts w:ascii="Arial" w:hAnsi="Arial" w:cs="Arial"/>
          <w:sz w:val="18"/>
          <w:szCs w:val="18"/>
        </w:rPr>
        <w:t>,</w:t>
      </w:r>
      <w:r w:rsidR="005D1457">
        <w:rPr>
          <w:rFonts w:ascii="Arial" w:hAnsi="Arial" w:cs="Arial"/>
          <w:sz w:val="18"/>
          <w:szCs w:val="18"/>
        </w:rPr>
        <w:t>38</w:t>
      </w:r>
      <w:r w:rsidR="00451C8F">
        <w:rPr>
          <w:rFonts w:ascii="Arial" w:hAnsi="Arial" w:cs="Arial"/>
          <w:sz w:val="18"/>
          <w:szCs w:val="18"/>
        </w:rPr>
        <w:t>2</w:t>
      </w:r>
      <w:r>
        <w:rPr>
          <w:rFonts w:ascii="Arial" w:hAnsi="Arial" w:cs="Arial"/>
          <w:sz w:val="18"/>
          <w:szCs w:val="18"/>
        </w:rPr>
        <w:t>,</w:t>
      </w:r>
      <w:r w:rsidR="005D1457">
        <w:rPr>
          <w:rFonts w:ascii="Arial" w:hAnsi="Arial" w:cs="Arial"/>
          <w:sz w:val="18"/>
          <w:szCs w:val="18"/>
        </w:rPr>
        <w:t>395</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5D1457">
        <w:rPr>
          <w:rFonts w:ascii="Arial" w:hAnsi="Arial" w:cs="Arial"/>
          <w:sz w:val="18"/>
          <w:szCs w:val="18"/>
        </w:rPr>
        <w:t>1</w:t>
      </w:r>
      <w:r w:rsidR="007F6AFD">
        <w:rPr>
          <w:rFonts w:ascii="Arial" w:hAnsi="Arial" w:cs="Arial"/>
          <w:sz w:val="18"/>
          <w:szCs w:val="18"/>
        </w:rPr>
        <w:t>,</w:t>
      </w:r>
      <w:r w:rsidR="00451C8F">
        <w:rPr>
          <w:rFonts w:ascii="Arial" w:hAnsi="Arial" w:cs="Arial"/>
          <w:sz w:val="18"/>
          <w:szCs w:val="18"/>
        </w:rPr>
        <w:t>5</w:t>
      </w:r>
      <w:r w:rsidR="005D1457">
        <w:rPr>
          <w:rFonts w:ascii="Arial" w:hAnsi="Arial" w:cs="Arial"/>
          <w:sz w:val="18"/>
          <w:szCs w:val="18"/>
        </w:rPr>
        <w:t>98</w:t>
      </w:r>
      <w:r>
        <w:rPr>
          <w:rFonts w:ascii="Arial" w:hAnsi="Arial" w:cs="Arial"/>
          <w:sz w:val="18"/>
          <w:szCs w:val="18"/>
        </w:rPr>
        <w:t>,</w:t>
      </w:r>
      <w:r w:rsidR="005D1457">
        <w:rPr>
          <w:rFonts w:ascii="Arial" w:hAnsi="Arial" w:cs="Arial"/>
          <w:sz w:val="18"/>
          <w:szCs w:val="18"/>
        </w:rPr>
        <w:t>180</w:t>
      </w:r>
      <w:r>
        <w:rPr>
          <w:rFonts w:ascii="Arial" w:hAnsi="Arial" w:cs="Arial"/>
          <w:sz w:val="18"/>
          <w:szCs w:val="18"/>
        </w:rPr>
        <w:t>,</w:t>
      </w:r>
      <w:r w:rsidR="005D1457">
        <w:rPr>
          <w:rFonts w:ascii="Arial" w:hAnsi="Arial" w:cs="Arial"/>
          <w:sz w:val="18"/>
          <w:szCs w:val="18"/>
        </w:rPr>
        <w:t>856</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304672">
        <w:rPr>
          <w:rFonts w:ascii="Arial" w:hAnsi="Arial" w:cs="Arial"/>
          <w:sz w:val="18"/>
          <w:szCs w:val="18"/>
        </w:rPr>
        <w:t xml:space="preserve">, mismo que es </w:t>
      </w:r>
      <w:r w:rsidR="005D1457">
        <w:rPr>
          <w:rFonts w:ascii="Arial" w:hAnsi="Arial" w:cs="Arial"/>
          <w:sz w:val="18"/>
          <w:szCs w:val="18"/>
        </w:rPr>
        <w:t>m</w:t>
      </w:r>
      <w:r w:rsidR="005357BB">
        <w:rPr>
          <w:rFonts w:ascii="Arial" w:hAnsi="Arial" w:cs="Arial"/>
          <w:sz w:val="18"/>
          <w:szCs w:val="18"/>
        </w:rPr>
        <w:t>ay</w:t>
      </w:r>
      <w:r w:rsidR="005D1457">
        <w:rPr>
          <w:rFonts w:ascii="Arial" w:hAnsi="Arial" w:cs="Arial"/>
          <w:sz w:val="18"/>
          <w:szCs w:val="18"/>
        </w:rPr>
        <w:t>or</w:t>
      </w:r>
      <w:r w:rsidR="00A634CF">
        <w:rPr>
          <w:rFonts w:ascii="Arial" w:hAnsi="Arial" w:cs="Arial"/>
          <w:sz w:val="18"/>
          <w:szCs w:val="18"/>
        </w:rPr>
        <w:t xml:space="preserve"> en un </w:t>
      </w:r>
      <w:r w:rsidR="005357BB">
        <w:rPr>
          <w:rFonts w:ascii="Arial" w:hAnsi="Arial" w:cs="Arial"/>
          <w:sz w:val="18"/>
          <w:szCs w:val="18"/>
        </w:rPr>
        <w:t>25</w:t>
      </w:r>
      <w:r w:rsidR="00A634CF">
        <w:rPr>
          <w:rFonts w:ascii="Arial" w:hAnsi="Arial" w:cs="Arial"/>
          <w:sz w:val="18"/>
          <w:szCs w:val="18"/>
        </w:rPr>
        <w:t>%</w:t>
      </w:r>
      <w:r w:rsidR="00304672">
        <w:rPr>
          <w:rFonts w:ascii="Arial" w:hAnsi="Arial" w:cs="Arial"/>
          <w:sz w:val="18"/>
          <w:szCs w:val="18"/>
        </w:rPr>
        <w:t xml:space="preserve">, respecto al </w:t>
      </w:r>
      <w:r w:rsidR="005357BB">
        <w:rPr>
          <w:rFonts w:ascii="Arial" w:hAnsi="Arial" w:cs="Arial"/>
          <w:sz w:val="18"/>
          <w:szCs w:val="18"/>
        </w:rPr>
        <w:t xml:space="preserve">mismo periodo del </w:t>
      </w:r>
      <w:r w:rsidR="007A327C">
        <w:rPr>
          <w:rFonts w:ascii="Arial" w:hAnsi="Arial" w:cs="Arial"/>
          <w:sz w:val="18"/>
          <w:szCs w:val="18"/>
        </w:rPr>
        <w:t>ejercicio de</w:t>
      </w:r>
      <w:r w:rsidR="00304672">
        <w:rPr>
          <w:rFonts w:ascii="Arial" w:hAnsi="Arial" w:cs="Arial"/>
          <w:sz w:val="18"/>
          <w:szCs w:val="18"/>
        </w:rPr>
        <w:t xml:space="preserve"> 202</w:t>
      </w:r>
      <w:r w:rsidR="005D1457">
        <w:rPr>
          <w:rFonts w:ascii="Arial" w:hAnsi="Arial" w:cs="Arial"/>
          <w:sz w:val="18"/>
          <w:szCs w:val="18"/>
        </w:rPr>
        <w:t>3</w:t>
      </w:r>
      <w:r w:rsidRPr="0073056A">
        <w:rPr>
          <w:rFonts w:ascii="Arial" w:hAnsi="Arial" w:cs="Arial"/>
          <w:sz w:val="18"/>
          <w:szCs w:val="18"/>
        </w:rPr>
        <w:t>.</w:t>
      </w:r>
    </w:p>
    <w:p w14:paraId="4504B2D4" w14:textId="77777777" w:rsidR="00332091" w:rsidRPr="0073056A" w:rsidRDefault="00332091" w:rsidP="00076E1D">
      <w:pPr>
        <w:tabs>
          <w:tab w:val="left" w:pos="284"/>
        </w:tabs>
        <w:ind w:left="284"/>
        <w:jc w:val="both"/>
        <w:rPr>
          <w:b/>
        </w:rPr>
      </w:pPr>
      <w:r w:rsidRPr="0073056A">
        <w:rPr>
          <w:b/>
        </w:rPr>
        <w:t>Ingresos de Gestión</w:t>
      </w:r>
    </w:p>
    <w:p w14:paraId="604D36DF"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14:paraId="0D3EEA46" w14:textId="74C96472"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5D1457">
        <w:rPr>
          <w:rFonts w:ascii="Arial" w:hAnsi="Arial" w:cs="Arial"/>
          <w:sz w:val="18"/>
          <w:szCs w:val="18"/>
        </w:rPr>
        <w:t>marzo</w:t>
      </w:r>
      <w:r w:rsidR="00297D52">
        <w:rPr>
          <w:rFonts w:ascii="Arial" w:hAnsi="Arial" w:cs="Arial"/>
          <w:sz w:val="18"/>
          <w:szCs w:val="18"/>
        </w:rPr>
        <w:t xml:space="preserve"> </w:t>
      </w:r>
      <w:r w:rsidR="0048365A">
        <w:rPr>
          <w:rFonts w:ascii="Arial" w:hAnsi="Arial" w:cs="Arial"/>
          <w:sz w:val="18"/>
          <w:szCs w:val="18"/>
        </w:rPr>
        <w:t>de</w:t>
      </w:r>
      <w:r>
        <w:rPr>
          <w:rFonts w:ascii="Arial" w:hAnsi="Arial" w:cs="Arial"/>
          <w:sz w:val="18"/>
          <w:szCs w:val="18"/>
        </w:rPr>
        <w:t xml:space="preserve"> 20</w:t>
      </w:r>
      <w:r w:rsidR="00C735F9">
        <w:rPr>
          <w:rFonts w:ascii="Arial" w:hAnsi="Arial" w:cs="Arial"/>
          <w:sz w:val="18"/>
          <w:szCs w:val="18"/>
        </w:rPr>
        <w:t>2</w:t>
      </w:r>
      <w:r w:rsidR="005D1457">
        <w:rPr>
          <w:rFonts w:ascii="Arial" w:hAnsi="Arial" w:cs="Arial"/>
          <w:sz w:val="18"/>
          <w:szCs w:val="18"/>
        </w:rPr>
        <w:t>4</w:t>
      </w:r>
      <w:r w:rsidRPr="0073056A">
        <w:rPr>
          <w:rFonts w:ascii="Arial" w:hAnsi="Arial" w:cs="Arial"/>
          <w:sz w:val="18"/>
          <w:szCs w:val="18"/>
        </w:rPr>
        <w:t xml:space="preserve"> se recaudó la cantidad de $</w:t>
      </w:r>
      <w:r w:rsidR="005D1457">
        <w:rPr>
          <w:rFonts w:ascii="Arial" w:hAnsi="Arial" w:cs="Arial"/>
          <w:sz w:val="18"/>
          <w:szCs w:val="18"/>
        </w:rPr>
        <w:t>276</w:t>
      </w:r>
      <w:r>
        <w:rPr>
          <w:rFonts w:ascii="Arial" w:hAnsi="Arial" w:cs="Arial"/>
          <w:sz w:val="18"/>
          <w:szCs w:val="18"/>
        </w:rPr>
        <w:t>,</w:t>
      </w:r>
      <w:r w:rsidR="005D1457">
        <w:rPr>
          <w:rFonts w:ascii="Arial" w:hAnsi="Arial" w:cs="Arial"/>
          <w:sz w:val="18"/>
          <w:szCs w:val="18"/>
        </w:rPr>
        <w:t>078</w:t>
      </w:r>
      <w:r>
        <w:rPr>
          <w:rFonts w:ascii="Arial" w:hAnsi="Arial" w:cs="Arial"/>
          <w:sz w:val="18"/>
          <w:szCs w:val="18"/>
        </w:rPr>
        <w:t>,</w:t>
      </w:r>
      <w:r w:rsidR="005D1457">
        <w:rPr>
          <w:rFonts w:ascii="Arial" w:hAnsi="Arial" w:cs="Arial"/>
          <w:sz w:val="18"/>
          <w:szCs w:val="18"/>
        </w:rPr>
        <w:t>837</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5D1457">
        <w:rPr>
          <w:rFonts w:ascii="Arial" w:hAnsi="Arial" w:cs="Arial"/>
          <w:sz w:val="18"/>
          <w:szCs w:val="18"/>
        </w:rPr>
        <w:t>256</w:t>
      </w:r>
      <w:r w:rsidR="00E004F0">
        <w:rPr>
          <w:rFonts w:ascii="Arial" w:hAnsi="Arial" w:cs="Arial"/>
          <w:sz w:val="18"/>
          <w:szCs w:val="18"/>
        </w:rPr>
        <w:t>,</w:t>
      </w:r>
      <w:r w:rsidR="005D1457">
        <w:rPr>
          <w:rFonts w:ascii="Arial" w:hAnsi="Arial" w:cs="Arial"/>
          <w:sz w:val="18"/>
          <w:szCs w:val="18"/>
        </w:rPr>
        <w:t>018</w:t>
      </w:r>
      <w:r w:rsidR="00AB0983">
        <w:rPr>
          <w:rFonts w:ascii="Arial" w:hAnsi="Arial" w:cs="Arial"/>
          <w:sz w:val="18"/>
          <w:szCs w:val="18"/>
        </w:rPr>
        <w:t>,</w:t>
      </w:r>
      <w:r w:rsidR="005D1457">
        <w:rPr>
          <w:rFonts w:ascii="Arial" w:hAnsi="Arial" w:cs="Arial"/>
          <w:sz w:val="18"/>
          <w:szCs w:val="18"/>
        </w:rPr>
        <w:t>746</w:t>
      </w:r>
      <w:r>
        <w:rPr>
          <w:rFonts w:ascii="Arial" w:hAnsi="Arial" w:cs="Arial"/>
          <w:sz w:val="18"/>
          <w:szCs w:val="18"/>
        </w:rPr>
        <w:t>; sobre la Producción, el Consumo y las transacciones por un importe de $</w:t>
      </w:r>
      <w:r w:rsidR="005D1457">
        <w:rPr>
          <w:rFonts w:ascii="Arial" w:hAnsi="Arial" w:cs="Arial"/>
          <w:sz w:val="18"/>
          <w:szCs w:val="18"/>
        </w:rPr>
        <w:t>12</w:t>
      </w:r>
      <w:r>
        <w:rPr>
          <w:rFonts w:ascii="Arial" w:hAnsi="Arial" w:cs="Arial"/>
          <w:sz w:val="18"/>
          <w:szCs w:val="18"/>
        </w:rPr>
        <w:t>,</w:t>
      </w:r>
      <w:r w:rsidR="005D1457">
        <w:rPr>
          <w:rFonts w:ascii="Arial" w:hAnsi="Arial" w:cs="Arial"/>
          <w:sz w:val="18"/>
          <w:szCs w:val="18"/>
        </w:rPr>
        <w:t>923</w:t>
      </w:r>
      <w:r>
        <w:rPr>
          <w:rFonts w:ascii="Arial" w:hAnsi="Arial" w:cs="Arial"/>
          <w:sz w:val="18"/>
          <w:szCs w:val="18"/>
        </w:rPr>
        <w:t>,</w:t>
      </w:r>
      <w:r w:rsidR="005D1457">
        <w:rPr>
          <w:rFonts w:ascii="Arial" w:hAnsi="Arial" w:cs="Arial"/>
          <w:sz w:val="18"/>
          <w:szCs w:val="18"/>
        </w:rPr>
        <w:t>096</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5D1457">
        <w:rPr>
          <w:rFonts w:ascii="Arial" w:hAnsi="Arial" w:cs="Arial"/>
          <w:sz w:val="18"/>
          <w:szCs w:val="18"/>
        </w:rPr>
        <w:t>3</w:t>
      </w:r>
      <w:r>
        <w:rPr>
          <w:rFonts w:ascii="Arial" w:hAnsi="Arial" w:cs="Arial"/>
          <w:sz w:val="18"/>
          <w:szCs w:val="18"/>
        </w:rPr>
        <w:t>,</w:t>
      </w:r>
      <w:r w:rsidR="005D1457">
        <w:rPr>
          <w:rFonts w:ascii="Arial" w:hAnsi="Arial" w:cs="Arial"/>
          <w:sz w:val="18"/>
          <w:szCs w:val="18"/>
        </w:rPr>
        <w:t>465</w:t>
      </w:r>
      <w:r>
        <w:rPr>
          <w:rFonts w:ascii="Arial" w:hAnsi="Arial" w:cs="Arial"/>
          <w:sz w:val="18"/>
          <w:szCs w:val="18"/>
        </w:rPr>
        <w:t>,</w:t>
      </w:r>
      <w:r w:rsidR="005D1457">
        <w:rPr>
          <w:rFonts w:ascii="Arial" w:hAnsi="Arial" w:cs="Arial"/>
          <w:sz w:val="18"/>
          <w:szCs w:val="18"/>
        </w:rPr>
        <w:t>514</w:t>
      </w:r>
      <w:r w:rsidR="00E004F0">
        <w:rPr>
          <w:rFonts w:ascii="Arial" w:hAnsi="Arial" w:cs="Arial"/>
          <w:sz w:val="18"/>
          <w:szCs w:val="18"/>
        </w:rPr>
        <w:t>.</w:t>
      </w:r>
      <w:r w:rsidR="00304672">
        <w:rPr>
          <w:rFonts w:ascii="Arial" w:hAnsi="Arial" w:cs="Arial"/>
          <w:sz w:val="18"/>
          <w:szCs w:val="18"/>
        </w:rPr>
        <w:t xml:space="preserve"> Presenta</w:t>
      </w:r>
      <w:r w:rsidR="00DC16A9">
        <w:rPr>
          <w:rFonts w:ascii="Arial" w:hAnsi="Arial" w:cs="Arial"/>
          <w:sz w:val="18"/>
          <w:szCs w:val="18"/>
        </w:rPr>
        <w:t>n</w:t>
      </w:r>
      <w:r w:rsidR="00304672">
        <w:rPr>
          <w:rFonts w:ascii="Arial" w:hAnsi="Arial" w:cs="Arial"/>
          <w:sz w:val="18"/>
          <w:szCs w:val="18"/>
        </w:rPr>
        <w:t xml:space="preserve">do un </w:t>
      </w:r>
      <w:r w:rsidR="005D1457">
        <w:rPr>
          <w:rFonts w:ascii="Arial" w:hAnsi="Arial" w:cs="Arial"/>
          <w:sz w:val="18"/>
          <w:szCs w:val="18"/>
        </w:rPr>
        <w:t xml:space="preserve">diferencial </w:t>
      </w:r>
      <w:r w:rsidR="00304672">
        <w:rPr>
          <w:rFonts w:ascii="Arial" w:hAnsi="Arial" w:cs="Arial"/>
          <w:sz w:val="18"/>
          <w:szCs w:val="18"/>
        </w:rPr>
        <w:t xml:space="preserve">en impuestos del </w:t>
      </w:r>
      <w:r w:rsidR="005357BB">
        <w:rPr>
          <w:rFonts w:ascii="Arial" w:hAnsi="Arial" w:cs="Arial"/>
          <w:sz w:val="18"/>
          <w:szCs w:val="18"/>
        </w:rPr>
        <w:t>2</w:t>
      </w:r>
      <w:r w:rsidR="005D1457">
        <w:rPr>
          <w:rFonts w:ascii="Arial" w:hAnsi="Arial" w:cs="Arial"/>
          <w:sz w:val="18"/>
          <w:szCs w:val="18"/>
        </w:rPr>
        <w:t>8</w:t>
      </w:r>
      <w:r w:rsidR="00304672">
        <w:rPr>
          <w:rFonts w:ascii="Arial" w:hAnsi="Arial" w:cs="Arial"/>
          <w:sz w:val="18"/>
          <w:szCs w:val="18"/>
        </w:rPr>
        <w:t xml:space="preserve">% respecto </w:t>
      </w:r>
      <w:r w:rsidR="005357BB">
        <w:rPr>
          <w:rFonts w:ascii="Arial" w:hAnsi="Arial" w:cs="Arial"/>
          <w:sz w:val="18"/>
          <w:szCs w:val="18"/>
        </w:rPr>
        <w:t xml:space="preserve">al mismo trimestre </w:t>
      </w:r>
      <w:r w:rsidR="00304672">
        <w:rPr>
          <w:rFonts w:ascii="Arial" w:hAnsi="Arial" w:cs="Arial"/>
          <w:sz w:val="18"/>
          <w:szCs w:val="18"/>
        </w:rPr>
        <w:t>del ejercicio 202</w:t>
      </w:r>
      <w:r w:rsidR="005D1457">
        <w:rPr>
          <w:rFonts w:ascii="Arial" w:hAnsi="Arial" w:cs="Arial"/>
          <w:sz w:val="18"/>
          <w:szCs w:val="18"/>
        </w:rPr>
        <w:t>3</w:t>
      </w:r>
      <w:r w:rsidR="00304672">
        <w:rPr>
          <w:rFonts w:ascii="Arial" w:hAnsi="Arial" w:cs="Arial"/>
          <w:sz w:val="18"/>
          <w:szCs w:val="18"/>
        </w:rPr>
        <w:t>.</w:t>
      </w:r>
    </w:p>
    <w:p w14:paraId="41AE2A10" w14:textId="77777777" w:rsidR="00661352" w:rsidRDefault="00661352" w:rsidP="00332091">
      <w:pPr>
        <w:tabs>
          <w:tab w:val="left" w:pos="284"/>
        </w:tabs>
        <w:spacing w:after="0"/>
        <w:ind w:left="284"/>
        <w:jc w:val="both"/>
        <w:rPr>
          <w:rFonts w:ascii="Arial" w:hAnsi="Arial" w:cs="Arial"/>
          <w:b/>
          <w:sz w:val="18"/>
          <w:szCs w:val="18"/>
        </w:rPr>
      </w:pPr>
    </w:p>
    <w:p w14:paraId="51908F36"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14:paraId="31D2FDEF" w14:textId="577C5D28"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5D1457">
        <w:rPr>
          <w:rFonts w:ascii="Arial" w:hAnsi="Arial" w:cs="Arial"/>
          <w:sz w:val="18"/>
          <w:szCs w:val="18"/>
        </w:rPr>
        <w:t>marzo</w:t>
      </w:r>
      <w:r>
        <w:rPr>
          <w:rFonts w:ascii="Arial" w:hAnsi="Arial" w:cs="Arial"/>
          <w:sz w:val="18"/>
          <w:szCs w:val="18"/>
        </w:rPr>
        <w:t xml:space="preserve"> es por</w:t>
      </w:r>
      <w:r w:rsidRPr="0073056A">
        <w:rPr>
          <w:rFonts w:ascii="Arial" w:hAnsi="Arial" w:cs="Arial"/>
          <w:sz w:val="18"/>
          <w:szCs w:val="18"/>
        </w:rPr>
        <w:t xml:space="preserve"> un monto de $</w:t>
      </w:r>
      <w:r w:rsidR="005D1457">
        <w:rPr>
          <w:rFonts w:ascii="Arial" w:hAnsi="Arial" w:cs="Arial"/>
          <w:sz w:val="18"/>
          <w:szCs w:val="18"/>
        </w:rPr>
        <w:t>209</w:t>
      </w:r>
      <w:r>
        <w:rPr>
          <w:rFonts w:ascii="Arial" w:hAnsi="Arial" w:cs="Arial"/>
          <w:sz w:val="18"/>
          <w:szCs w:val="18"/>
        </w:rPr>
        <w:t>,</w:t>
      </w:r>
      <w:r w:rsidR="005D1457">
        <w:rPr>
          <w:rFonts w:ascii="Arial" w:hAnsi="Arial" w:cs="Arial"/>
          <w:sz w:val="18"/>
          <w:szCs w:val="18"/>
        </w:rPr>
        <w:t>534</w:t>
      </w:r>
      <w:r>
        <w:rPr>
          <w:rFonts w:ascii="Arial" w:hAnsi="Arial" w:cs="Arial"/>
          <w:sz w:val="18"/>
          <w:szCs w:val="18"/>
        </w:rPr>
        <w:t>,</w:t>
      </w:r>
      <w:r w:rsidR="005D1457">
        <w:rPr>
          <w:rFonts w:ascii="Arial" w:hAnsi="Arial" w:cs="Arial"/>
          <w:sz w:val="18"/>
          <w:szCs w:val="18"/>
        </w:rPr>
        <w:t>606</w:t>
      </w:r>
      <w:r w:rsidRPr="0073056A">
        <w:rPr>
          <w:rFonts w:ascii="Arial" w:hAnsi="Arial" w:cs="Arial"/>
          <w:sz w:val="18"/>
          <w:szCs w:val="18"/>
        </w:rPr>
        <w:t>.</w:t>
      </w:r>
      <w:r w:rsidR="00304672">
        <w:rPr>
          <w:rFonts w:ascii="Arial" w:hAnsi="Arial" w:cs="Arial"/>
          <w:sz w:val="18"/>
          <w:szCs w:val="18"/>
        </w:rPr>
        <w:t xml:space="preserve"> Mostrando un </w:t>
      </w:r>
      <w:r w:rsidR="005D1457">
        <w:rPr>
          <w:rFonts w:ascii="Arial" w:hAnsi="Arial" w:cs="Arial"/>
          <w:sz w:val="18"/>
          <w:szCs w:val="18"/>
        </w:rPr>
        <w:t>de</w:t>
      </w:r>
      <w:r w:rsidR="00304672">
        <w:rPr>
          <w:rFonts w:ascii="Arial" w:hAnsi="Arial" w:cs="Arial"/>
          <w:sz w:val="18"/>
          <w:szCs w:val="18"/>
        </w:rPr>
        <w:t xml:space="preserve">cremento del </w:t>
      </w:r>
      <w:r w:rsidR="005357BB">
        <w:rPr>
          <w:rFonts w:ascii="Arial" w:hAnsi="Arial" w:cs="Arial"/>
          <w:sz w:val="18"/>
          <w:szCs w:val="18"/>
        </w:rPr>
        <w:t>9</w:t>
      </w:r>
      <w:r w:rsidR="00304672">
        <w:rPr>
          <w:rFonts w:ascii="Arial" w:hAnsi="Arial" w:cs="Arial"/>
          <w:sz w:val="18"/>
          <w:szCs w:val="18"/>
        </w:rPr>
        <w:t xml:space="preserve">% respecto al </w:t>
      </w:r>
      <w:r w:rsidR="00935A49">
        <w:rPr>
          <w:rFonts w:ascii="Arial" w:hAnsi="Arial" w:cs="Arial"/>
          <w:sz w:val="18"/>
          <w:szCs w:val="18"/>
        </w:rPr>
        <w:t xml:space="preserve">mismo periodo del </w:t>
      </w:r>
      <w:r w:rsidR="007A327C">
        <w:rPr>
          <w:rFonts w:ascii="Arial" w:hAnsi="Arial" w:cs="Arial"/>
          <w:sz w:val="18"/>
          <w:szCs w:val="18"/>
        </w:rPr>
        <w:t>ejercicio</w:t>
      </w:r>
      <w:r w:rsidR="00304672">
        <w:rPr>
          <w:rFonts w:ascii="Arial" w:hAnsi="Arial" w:cs="Arial"/>
          <w:sz w:val="18"/>
          <w:szCs w:val="18"/>
        </w:rPr>
        <w:t xml:space="preserve"> 202</w:t>
      </w:r>
      <w:r w:rsidR="005D1457">
        <w:rPr>
          <w:rFonts w:ascii="Arial" w:hAnsi="Arial" w:cs="Arial"/>
          <w:sz w:val="18"/>
          <w:szCs w:val="18"/>
        </w:rPr>
        <w:t>3</w:t>
      </w:r>
      <w:r w:rsidR="00304672">
        <w:rPr>
          <w:rFonts w:ascii="Arial" w:hAnsi="Arial" w:cs="Arial"/>
          <w:sz w:val="18"/>
          <w:szCs w:val="18"/>
        </w:rPr>
        <w:t>.</w:t>
      </w:r>
    </w:p>
    <w:p w14:paraId="06648235" w14:textId="77777777" w:rsidR="00661352" w:rsidRDefault="00661352" w:rsidP="00332091">
      <w:pPr>
        <w:tabs>
          <w:tab w:val="left" w:pos="284"/>
        </w:tabs>
        <w:spacing w:after="0"/>
        <w:ind w:left="284"/>
        <w:jc w:val="both"/>
        <w:rPr>
          <w:rFonts w:ascii="Arial" w:hAnsi="Arial" w:cs="Arial"/>
          <w:b/>
          <w:sz w:val="18"/>
          <w:szCs w:val="18"/>
        </w:rPr>
      </w:pPr>
    </w:p>
    <w:p w14:paraId="58E3F09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14:paraId="3B909ED4" w14:textId="211A05F6" w:rsidR="00304672" w:rsidRDefault="00FE1848" w:rsidP="00304672">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5D1457">
        <w:rPr>
          <w:rFonts w:ascii="Arial" w:hAnsi="Arial" w:cs="Arial"/>
          <w:sz w:val="18"/>
          <w:szCs w:val="18"/>
        </w:rPr>
        <w:t>marzo</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005D1457">
        <w:rPr>
          <w:rFonts w:ascii="Arial" w:hAnsi="Arial" w:cs="Arial"/>
          <w:sz w:val="18"/>
          <w:szCs w:val="18"/>
        </w:rPr>
        <w:t>89</w:t>
      </w:r>
      <w:r w:rsidRPr="00502DDD">
        <w:rPr>
          <w:rFonts w:ascii="Arial" w:hAnsi="Arial" w:cs="Arial"/>
          <w:sz w:val="18"/>
          <w:szCs w:val="18"/>
        </w:rPr>
        <w:t>,</w:t>
      </w:r>
      <w:r w:rsidR="00C03317">
        <w:rPr>
          <w:rFonts w:ascii="Arial" w:hAnsi="Arial" w:cs="Arial"/>
          <w:sz w:val="18"/>
          <w:szCs w:val="18"/>
        </w:rPr>
        <w:t>6</w:t>
      </w:r>
      <w:r w:rsidR="005D1457">
        <w:rPr>
          <w:rFonts w:ascii="Arial" w:hAnsi="Arial" w:cs="Arial"/>
          <w:sz w:val="18"/>
          <w:szCs w:val="18"/>
        </w:rPr>
        <w:t>38</w:t>
      </w:r>
      <w:r w:rsidRPr="00502DDD">
        <w:rPr>
          <w:rFonts w:ascii="Arial" w:hAnsi="Arial" w:cs="Arial"/>
          <w:sz w:val="18"/>
          <w:szCs w:val="18"/>
        </w:rPr>
        <w:t>,</w:t>
      </w:r>
      <w:r w:rsidR="005D1457">
        <w:rPr>
          <w:rFonts w:ascii="Arial" w:hAnsi="Arial" w:cs="Arial"/>
          <w:sz w:val="18"/>
          <w:szCs w:val="18"/>
        </w:rPr>
        <w:t>123</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r w:rsidR="00304672">
        <w:rPr>
          <w:rFonts w:ascii="Arial" w:hAnsi="Arial" w:cs="Arial"/>
          <w:sz w:val="18"/>
          <w:szCs w:val="18"/>
        </w:rPr>
        <w:t xml:space="preserve">, presentando un </w:t>
      </w:r>
      <w:r w:rsidR="00935A49">
        <w:rPr>
          <w:rFonts w:ascii="Arial" w:hAnsi="Arial" w:cs="Arial"/>
          <w:sz w:val="18"/>
          <w:szCs w:val="18"/>
        </w:rPr>
        <w:t>in</w:t>
      </w:r>
      <w:r w:rsidR="00304672">
        <w:rPr>
          <w:rFonts w:ascii="Arial" w:hAnsi="Arial" w:cs="Arial"/>
          <w:sz w:val="18"/>
          <w:szCs w:val="18"/>
        </w:rPr>
        <w:t xml:space="preserve">cremento del </w:t>
      </w:r>
      <w:r w:rsidR="005D1457">
        <w:rPr>
          <w:rFonts w:ascii="Arial" w:hAnsi="Arial" w:cs="Arial"/>
          <w:sz w:val="18"/>
          <w:szCs w:val="18"/>
        </w:rPr>
        <w:t>7</w:t>
      </w:r>
      <w:r w:rsidR="00935A49">
        <w:rPr>
          <w:rFonts w:ascii="Arial" w:hAnsi="Arial" w:cs="Arial"/>
          <w:sz w:val="18"/>
          <w:szCs w:val="18"/>
        </w:rPr>
        <w:t>1</w:t>
      </w:r>
      <w:r w:rsidR="00304672">
        <w:rPr>
          <w:rFonts w:ascii="Arial" w:hAnsi="Arial" w:cs="Arial"/>
          <w:sz w:val="18"/>
          <w:szCs w:val="18"/>
        </w:rPr>
        <w:t xml:space="preserve">% respecto </w:t>
      </w:r>
      <w:r w:rsidR="00935A49">
        <w:rPr>
          <w:rFonts w:ascii="Arial" w:hAnsi="Arial" w:cs="Arial"/>
          <w:sz w:val="18"/>
          <w:szCs w:val="18"/>
        </w:rPr>
        <w:t xml:space="preserve">al mismo trimestre </w:t>
      </w:r>
      <w:r w:rsidR="00304672">
        <w:rPr>
          <w:rFonts w:ascii="Arial" w:hAnsi="Arial" w:cs="Arial"/>
          <w:sz w:val="18"/>
          <w:szCs w:val="18"/>
        </w:rPr>
        <w:t>del ejercicio 202</w:t>
      </w:r>
      <w:r w:rsidR="005D1457">
        <w:rPr>
          <w:rFonts w:ascii="Arial" w:hAnsi="Arial" w:cs="Arial"/>
          <w:sz w:val="18"/>
          <w:szCs w:val="18"/>
        </w:rPr>
        <w:t>3</w:t>
      </w:r>
      <w:r w:rsidR="00304672">
        <w:rPr>
          <w:rFonts w:ascii="Arial" w:hAnsi="Arial" w:cs="Arial"/>
          <w:sz w:val="18"/>
          <w:szCs w:val="18"/>
        </w:rPr>
        <w:t>.</w:t>
      </w:r>
    </w:p>
    <w:p w14:paraId="01B63D84" w14:textId="77777777" w:rsidR="00EC5C97" w:rsidRDefault="00EC5C97" w:rsidP="00332091">
      <w:pPr>
        <w:tabs>
          <w:tab w:val="left" w:pos="284"/>
        </w:tabs>
        <w:spacing w:after="0"/>
        <w:ind w:left="284"/>
        <w:jc w:val="both"/>
        <w:rPr>
          <w:rFonts w:ascii="Arial" w:hAnsi="Arial" w:cs="Arial"/>
          <w:b/>
          <w:sz w:val="18"/>
          <w:szCs w:val="18"/>
        </w:rPr>
      </w:pPr>
    </w:p>
    <w:p w14:paraId="47629C3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14:paraId="2D0EAFDD" w14:textId="2571EF70" w:rsidR="00EC5C97" w:rsidRPr="0073056A" w:rsidRDefault="00FE1848" w:rsidP="00EC5C97">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4833FD">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4833FD">
        <w:rPr>
          <w:rFonts w:ascii="Arial" w:hAnsi="Arial" w:cs="Arial"/>
          <w:sz w:val="18"/>
          <w:szCs w:val="18"/>
        </w:rPr>
        <w:t>4</w:t>
      </w:r>
      <w:r w:rsidRPr="0073056A">
        <w:rPr>
          <w:rFonts w:ascii="Arial" w:hAnsi="Arial" w:cs="Arial"/>
          <w:sz w:val="18"/>
          <w:szCs w:val="18"/>
        </w:rPr>
        <w:t>, el Estado obtuvo ingresos por concepto de Aprovechamientos por un monto de $</w:t>
      </w:r>
      <w:r w:rsidR="004833FD">
        <w:rPr>
          <w:rFonts w:ascii="Arial" w:hAnsi="Arial" w:cs="Arial"/>
          <w:sz w:val="18"/>
          <w:szCs w:val="18"/>
        </w:rPr>
        <w:t>856</w:t>
      </w:r>
      <w:r w:rsidR="00363494">
        <w:rPr>
          <w:rFonts w:ascii="Arial" w:hAnsi="Arial" w:cs="Arial"/>
          <w:sz w:val="18"/>
          <w:szCs w:val="18"/>
        </w:rPr>
        <w:t>,</w:t>
      </w:r>
      <w:r w:rsidR="004833FD">
        <w:rPr>
          <w:rFonts w:ascii="Arial" w:hAnsi="Arial" w:cs="Arial"/>
          <w:sz w:val="18"/>
          <w:szCs w:val="18"/>
        </w:rPr>
        <w:t>543</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sidR="00EC5C97">
        <w:rPr>
          <w:rFonts w:ascii="Arial" w:hAnsi="Arial" w:cs="Arial"/>
          <w:sz w:val="18"/>
          <w:szCs w:val="18"/>
        </w:rPr>
        <w:t xml:space="preserve"> Representando un </w:t>
      </w:r>
      <w:r w:rsidR="00935A49">
        <w:rPr>
          <w:rFonts w:ascii="Arial" w:hAnsi="Arial" w:cs="Arial"/>
          <w:sz w:val="18"/>
          <w:szCs w:val="18"/>
        </w:rPr>
        <w:t>de</w:t>
      </w:r>
      <w:r w:rsidR="00EC5C97">
        <w:rPr>
          <w:rFonts w:ascii="Arial" w:hAnsi="Arial" w:cs="Arial"/>
          <w:sz w:val="18"/>
          <w:szCs w:val="18"/>
        </w:rPr>
        <w:t xml:space="preserve">cremento del </w:t>
      </w:r>
      <w:r w:rsidR="004833FD">
        <w:rPr>
          <w:rFonts w:ascii="Arial" w:hAnsi="Arial" w:cs="Arial"/>
          <w:sz w:val="18"/>
          <w:szCs w:val="18"/>
        </w:rPr>
        <w:t>6</w:t>
      </w:r>
      <w:r w:rsidR="00935A49">
        <w:rPr>
          <w:rFonts w:ascii="Arial" w:hAnsi="Arial" w:cs="Arial"/>
          <w:sz w:val="18"/>
          <w:szCs w:val="18"/>
        </w:rPr>
        <w:t>9</w:t>
      </w:r>
      <w:r w:rsidR="00EC5C97">
        <w:rPr>
          <w:rFonts w:ascii="Arial" w:hAnsi="Arial" w:cs="Arial"/>
          <w:sz w:val="18"/>
          <w:szCs w:val="18"/>
        </w:rPr>
        <w:t xml:space="preserve">% en relación al </w:t>
      </w:r>
      <w:r w:rsidR="00935A49">
        <w:rPr>
          <w:rFonts w:ascii="Arial" w:hAnsi="Arial" w:cs="Arial"/>
          <w:sz w:val="18"/>
          <w:szCs w:val="18"/>
        </w:rPr>
        <w:t xml:space="preserve">mismo periodo del </w:t>
      </w:r>
      <w:r w:rsidR="007A327C">
        <w:rPr>
          <w:rFonts w:ascii="Arial" w:hAnsi="Arial" w:cs="Arial"/>
          <w:sz w:val="18"/>
          <w:szCs w:val="18"/>
        </w:rPr>
        <w:t>ejercicio</w:t>
      </w:r>
      <w:r w:rsidR="00EC5C97">
        <w:rPr>
          <w:rFonts w:ascii="Arial" w:hAnsi="Arial" w:cs="Arial"/>
          <w:sz w:val="18"/>
          <w:szCs w:val="18"/>
        </w:rPr>
        <w:t xml:space="preserve"> 202</w:t>
      </w:r>
      <w:r w:rsidR="004833FD">
        <w:rPr>
          <w:rFonts w:ascii="Arial" w:hAnsi="Arial" w:cs="Arial"/>
          <w:sz w:val="18"/>
          <w:szCs w:val="18"/>
        </w:rPr>
        <w:t>3</w:t>
      </w:r>
      <w:r w:rsidR="00EC5C97">
        <w:rPr>
          <w:rFonts w:ascii="Arial" w:hAnsi="Arial" w:cs="Arial"/>
          <w:sz w:val="18"/>
          <w:szCs w:val="18"/>
        </w:rPr>
        <w:t>.</w:t>
      </w:r>
    </w:p>
    <w:p w14:paraId="277D7446" w14:textId="77777777" w:rsidR="00332091" w:rsidRPr="00E442EC" w:rsidRDefault="00332091" w:rsidP="00E442EC">
      <w:pPr>
        <w:tabs>
          <w:tab w:val="left" w:pos="284"/>
        </w:tabs>
        <w:spacing w:after="0"/>
        <w:ind w:left="284"/>
        <w:jc w:val="both"/>
        <w:rPr>
          <w:rFonts w:ascii="Arial" w:hAnsi="Arial" w:cs="Arial"/>
          <w:b/>
          <w:sz w:val="18"/>
          <w:szCs w:val="18"/>
        </w:rPr>
      </w:pPr>
    </w:p>
    <w:p w14:paraId="12E263BF" w14:textId="77777777"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14:paraId="1219405A" w14:textId="59F1F47C" w:rsidR="004C1616" w:rsidRDefault="00FE1848" w:rsidP="004C1616">
      <w:pPr>
        <w:tabs>
          <w:tab w:val="left" w:pos="284"/>
        </w:tabs>
        <w:spacing w:after="0"/>
        <w:ind w:left="284"/>
        <w:jc w:val="both"/>
        <w:rPr>
          <w:rFonts w:ascii="Arial" w:hAnsi="Arial" w:cs="Arial"/>
          <w:sz w:val="18"/>
          <w:szCs w:val="18"/>
        </w:rPr>
      </w:pPr>
      <w:r w:rsidRPr="004D6FA0">
        <w:rPr>
          <w:rFonts w:ascii="Arial" w:hAnsi="Arial" w:cs="Arial"/>
          <w:sz w:val="18"/>
          <w:szCs w:val="18"/>
        </w:rPr>
        <w:t>El saldo de $</w:t>
      </w:r>
      <w:r w:rsidR="00337CFD">
        <w:rPr>
          <w:rFonts w:ascii="Arial" w:hAnsi="Arial" w:cs="Arial"/>
          <w:sz w:val="18"/>
          <w:szCs w:val="18"/>
        </w:rPr>
        <w:t>50</w:t>
      </w:r>
      <w:r w:rsidRPr="004D6FA0">
        <w:rPr>
          <w:rFonts w:ascii="Arial" w:hAnsi="Arial" w:cs="Arial"/>
          <w:sz w:val="18"/>
          <w:szCs w:val="18"/>
        </w:rPr>
        <w:t>,</w:t>
      </w:r>
      <w:r w:rsidR="00337CFD">
        <w:rPr>
          <w:rFonts w:ascii="Arial" w:hAnsi="Arial" w:cs="Arial"/>
          <w:sz w:val="18"/>
          <w:szCs w:val="18"/>
        </w:rPr>
        <w:t>566</w:t>
      </w:r>
      <w:r w:rsidRPr="004D6FA0">
        <w:rPr>
          <w:rFonts w:ascii="Arial" w:hAnsi="Arial" w:cs="Arial"/>
          <w:sz w:val="18"/>
          <w:szCs w:val="18"/>
        </w:rPr>
        <w:t>,</w:t>
      </w:r>
      <w:r w:rsidR="00337CFD">
        <w:rPr>
          <w:rFonts w:ascii="Arial" w:hAnsi="Arial" w:cs="Arial"/>
          <w:sz w:val="18"/>
          <w:szCs w:val="18"/>
        </w:rPr>
        <w:t>252</w:t>
      </w:r>
      <w:r w:rsidRPr="004D6FA0">
        <w:rPr>
          <w:rFonts w:ascii="Arial" w:hAnsi="Arial" w:cs="Arial"/>
          <w:sz w:val="18"/>
          <w:szCs w:val="18"/>
        </w:rPr>
        <w:t xml:space="preserve"> representan los ingresos obtenidos por los organismos públicos descentralizados del</w:t>
      </w:r>
      <w:r>
        <w:rPr>
          <w:rFonts w:ascii="Arial" w:hAnsi="Arial" w:cs="Arial"/>
          <w:sz w:val="18"/>
          <w:szCs w:val="18"/>
        </w:rPr>
        <w:t xml:space="preserve">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EC5C97">
        <w:rPr>
          <w:rFonts w:ascii="Arial" w:hAnsi="Arial" w:cs="Arial"/>
          <w:sz w:val="18"/>
          <w:szCs w:val="18"/>
        </w:rPr>
        <w:t xml:space="preserve">, observándose un </w:t>
      </w:r>
      <w:r w:rsidR="00935A49">
        <w:rPr>
          <w:rFonts w:ascii="Arial" w:hAnsi="Arial" w:cs="Arial"/>
          <w:sz w:val="18"/>
          <w:szCs w:val="18"/>
        </w:rPr>
        <w:t>in</w:t>
      </w:r>
      <w:r w:rsidR="00EC5C97">
        <w:rPr>
          <w:rFonts w:ascii="Arial" w:hAnsi="Arial" w:cs="Arial"/>
          <w:sz w:val="18"/>
          <w:szCs w:val="18"/>
        </w:rPr>
        <w:t xml:space="preserve">cremento del </w:t>
      </w:r>
      <w:r w:rsidR="00337CFD">
        <w:rPr>
          <w:rFonts w:ascii="Arial" w:hAnsi="Arial" w:cs="Arial"/>
          <w:sz w:val="18"/>
          <w:szCs w:val="18"/>
        </w:rPr>
        <w:t>60</w:t>
      </w:r>
      <w:r w:rsidR="00EC5C97">
        <w:rPr>
          <w:rFonts w:ascii="Arial" w:hAnsi="Arial" w:cs="Arial"/>
          <w:sz w:val="18"/>
          <w:szCs w:val="18"/>
        </w:rPr>
        <w:t xml:space="preserve">% en este rubro, respecto </w:t>
      </w:r>
      <w:r w:rsidR="00935A49">
        <w:rPr>
          <w:rFonts w:ascii="Arial" w:hAnsi="Arial" w:cs="Arial"/>
          <w:sz w:val="18"/>
          <w:szCs w:val="18"/>
        </w:rPr>
        <w:t xml:space="preserve">al mismo trimestre </w:t>
      </w:r>
      <w:r w:rsidR="00EC5C97">
        <w:rPr>
          <w:rFonts w:ascii="Arial" w:hAnsi="Arial" w:cs="Arial"/>
          <w:sz w:val="18"/>
          <w:szCs w:val="18"/>
        </w:rPr>
        <w:t>del ejercicio 202</w:t>
      </w:r>
      <w:r w:rsidR="00337CFD">
        <w:rPr>
          <w:rFonts w:ascii="Arial" w:hAnsi="Arial" w:cs="Arial"/>
          <w:sz w:val="18"/>
          <w:szCs w:val="18"/>
        </w:rPr>
        <w:t>3</w:t>
      </w:r>
      <w:r>
        <w:rPr>
          <w:rFonts w:ascii="Arial" w:hAnsi="Arial" w:cs="Arial"/>
          <w:sz w:val="18"/>
          <w:szCs w:val="18"/>
        </w:rPr>
        <w:t>.</w:t>
      </w:r>
    </w:p>
    <w:p w14:paraId="6DC66561" w14:textId="77777777" w:rsidR="004C1616" w:rsidRPr="0073056A" w:rsidRDefault="004C1616" w:rsidP="004C1616">
      <w:pPr>
        <w:tabs>
          <w:tab w:val="left" w:pos="284"/>
        </w:tabs>
        <w:spacing w:after="0"/>
        <w:ind w:left="284"/>
        <w:jc w:val="both"/>
        <w:rPr>
          <w:rFonts w:ascii="Arial" w:hAnsi="Arial" w:cs="Arial"/>
          <w:sz w:val="18"/>
          <w:szCs w:val="18"/>
        </w:rPr>
      </w:pPr>
    </w:p>
    <w:p w14:paraId="6F2C2C47" w14:textId="77777777"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14:paraId="0CAB8B52" w14:textId="014C6445"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w:t>
      </w:r>
      <w:r>
        <w:rPr>
          <w:rFonts w:ascii="Arial" w:hAnsi="Arial" w:cs="Arial"/>
          <w:sz w:val="18"/>
          <w:szCs w:val="18"/>
        </w:rPr>
        <w:lastRenderedPageBreak/>
        <w:t xml:space="preserve">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337CFD">
        <w:rPr>
          <w:rFonts w:ascii="Arial" w:hAnsi="Arial" w:cs="Arial"/>
          <w:sz w:val="18"/>
          <w:szCs w:val="18"/>
        </w:rPr>
        <w:t>5</w:t>
      </w:r>
      <w:r>
        <w:rPr>
          <w:rFonts w:ascii="Arial" w:hAnsi="Arial" w:cs="Arial"/>
          <w:sz w:val="18"/>
          <w:szCs w:val="18"/>
        </w:rPr>
        <w:t>,</w:t>
      </w:r>
      <w:r w:rsidR="00337CFD">
        <w:rPr>
          <w:rFonts w:ascii="Arial" w:hAnsi="Arial" w:cs="Arial"/>
          <w:sz w:val="18"/>
          <w:szCs w:val="18"/>
        </w:rPr>
        <w:t>576</w:t>
      </w:r>
      <w:r>
        <w:rPr>
          <w:rFonts w:ascii="Arial" w:hAnsi="Arial" w:cs="Arial"/>
          <w:sz w:val="18"/>
          <w:szCs w:val="18"/>
        </w:rPr>
        <w:t>,</w:t>
      </w:r>
      <w:r w:rsidR="00337CFD">
        <w:rPr>
          <w:rFonts w:ascii="Arial" w:hAnsi="Arial" w:cs="Arial"/>
          <w:sz w:val="18"/>
          <w:szCs w:val="18"/>
        </w:rPr>
        <w:t>888</w:t>
      </w:r>
      <w:r>
        <w:rPr>
          <w:rFonts w:ascii="Arial" w:hAnsi="Arial" w:cs="Arial"/>
          <w:sz w:val="18"/>
          <w:szCs w:val="18"/>
        </w:rPr>
        <w:t>,</w:t>
      </w:r>
      <w:r w:rsidR="00337CFD">
        <w:rPr>
          <w:rFonts w:ascii="Arial" w:hAnsi="Arial" w:cs="Arial"/>
          <w:sz w:val="18"/>
          <w:szCs w:val="18"/>
        </w:rPr>
        <w:t>890</w:t>
      </w:r>
      <w:r>
        <w:rPr>
          <w:rFonts w:ascii="Arial" w:hAnsi="Arial" w:cs="Arial"/>
          <w:sz w:val="18"/>
          <w:szCs w:val="18"/>
        </w:rPr>
        <w:t xml:space="preserve"> al mes de </w:t>
      </w:r>
      <w:r w:rsidR="00337CFD">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337CFD">
        <w:rPr>
          <w:rFonts w:ascii="Arial" w:hAnsi="Arial" w:cs="Arial"/>
          <w:sz w:val="18"/>
          <w:szCs w:val="18"/>
        </w:rPr>
        <w:t>4</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r w:rsidR="00EC5C97">
        <w:rPr>
          <w:rFonts w:ascii="Arial" w:hAnsi="Arial" w:cs="Arial"/>
          <w:sz w:val="18"/>
          <w:szCs w:val="18"/>
        </w:rPr>
        <w:t xml:space="preserve"> Este rubro, respecto al </w:t>
      </w:r>
      <w:r w:rsidR="00935A49">
        <w:rPr>
          <w:rFonts w:ascii="Arial" w:hAnsi="Arial" w:cs="Arial"/>
          <w:sz w:val="18"/>
          <w:szCs w:val="18"/>
        </w:rPr>
        <w:t xml:space="preserve">mismo trimestre del </w:t>
      </w:r>
      <w:r w:rsidR="00222D09">
        <w:rPr>
          <w:rFonts w:ascii="Arial" w:hAnsi="Arial" w:cs="Arial"/>
          <w:sz w:val="18"/>
          <w:szCs w:val="18"/>
        </w:rPr>
        <w:t>ejercicio</w:t>
      </w:r>
      <w:r w:rsidR="00EC5C97">
        <w:rPr>
          <w:rFonts w:ascii="Arial" w:hAnsi="Arial" w:cs="Arial"/>
          <w:sz w:val="18"/>
          <w:szCs w:val="18"/>
        </w:rPr>
        <w:t xml:space="preserve"> de 202</w:t>
      </w:r>
      <w:r w:rsidR="00337CFD">
        <w:rPr>
          <w:rFonts w:ascii="Arial" w:hAnsi="Arial" w:cs="Arial"/>
          <w:sz w:val="18"/>
          <w:szCs w:val="18"/>
        </w:rPr>
        <w:t>3</w:t>
      </w:r>
      <w:r w:rsidR="00EC5C97">
        <w:rPr>
          <w:rFonts w:ascii="Arial" w:hAnsi="Arial" w:cs="Arial"/>
          <w:sz w:val="18"/>
          <w:szCs w:val="18"/>
        </w:rPr>
        <w:t xml:space="preserve">, presenta un </w:t>
      </w:r>
      <w:r w:rsidR="00337CFD">
        <w:rPr>
          <w:rFonts w:ascii="Arial" w:hAnsi="Arial" w:cs="Arial"/>
          <w:sz w:val="18"/>
          <w:szCs w:val="18"/>
        </w:rPr>
        <w:t>de</w:t>
      </w:r>
      <w:r w:rsidR="00EC5C97">
        <w:rPr>
          <w:rFonts w:ascii="Arial" w:hAnsi="Arial" w:cs="Arial"/>
          <w:sz w:val="18"/>
          <w:szCs w:val="18"/>
        </w:rPr>
        <w:t xml:space="preserve">cremento del </w:t>
      </w:r>
      <w:r w:rsidR="00935A49">
        <w:rPr>
          <w:rFonts w:ascii="Arial" w:hAnsi="Arial" w:cs="Arial"/>
          <w:sz w:val="18"/>
          <w:szCs w:val="18"/>
        </w:rPr>
        <w:t>3</w:t>
      </w:r>
      <w:r w:rsidR="00EC5C97">
        <w:rPr>
          <w:rFonts w:ascii="Arial" w:hAnsi="Arial" w:cs="Arial"/>
          <w:sz w:val="18"/>
          <w:szCs w:val="18"/>
        </w:rPr>
        <w:t>%.</w:t>
      </w:r>
    </w:p>
    <w:p w14:paraId="2C0C6F14" w14:textId="77777777" w:rsidR="00332091" w:rsidRPr="0073056A" w:rsidRDefault="00332091" w:rsidP="00332091">
      <w:pPr>
        <w:tabs>
          <w:tab w:val="left" w:pos="284"/>
        </w:tabs>
        <w:spacing w:after="0"/>
        <w:ind w:left="284"/>
        <w:jc w:val="both"/>
        <w:rPr>
          <w:rFonts w:ascii="Arial" w:hAnsi="Arial" w:cs="Arial"/>
          <w:sz w:val="18"/>
          <w:szCs w:val="18"/>
        </w:rPr>
      </w:pPr>
    </w:p>
    <w:p w14:paraId="740E2522" w14:textId="77777777"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14:paraId="5DB38582" w14:textId="33215398"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w:t>
      </w:r>
      <w:r w:rsidR="00FE59F7">
        <w:rPr>
          <w:rFonts w:ascii="Arial" w:hAnsi="Arial" w:cs="Arial"/>
          <w:sz w:val="18"/>
          <w:szCs w:val="18"/>
        </w:rPr>
        <w:t xml:space="preserve">e incentivos económicos </w:t>
      </w:r>
      <w:r>
        <w:rPr>
          <w:rFonts w:ascii="Arial" w:hAnsi="Arial" w:cs="Arial"/>
          <w:sz w:val="18"/>
          <w:szCs w:val="18"/>
        </w:rPr>
        <w:t>asciende a un monto de $</w:t>
      </w:r>
      <w:r w:rsidR="00337CFD">
        <w:rPr>
          <w:rFonts w:ascii="Arial" w:hAnsi="Arial" w:cs="Arial"/>
          <w:sz w:val="18"/>
          <w:szCs w:val="18"/>
        </w:rPr>
        <w:t>3</w:t>
      </w:r>
      <w:r>
        <w:rPr>
          <w:rFonts w:ascii="Arial" w:hAnsi="Arial" w:cs="Arial"/>
          <w:sz w:val="18"/>
          <w:szCs w:val="18"/>
        </w:rPr>
        <w:t>,</w:t>
      </w:r>
      <w:r w:rsidR="00337CFD">
        <w:rPr>
          <w:rFonts w:ascii="Arial" w:hAnsi="Arial" w:cs="Arial"/>
          <w:sz w:val="18"/>
          <w:szCs w:val="18"/>
        </w:rPr>
        <w:t>269</w:t>
      </w:r>
      <w:r>
        <w:rPr>
          <w:rFonts w:ascii="Arial" w:hAnsi="Arial" w:cs="Arial"/>
          <w:sz w:val="18"/>
          <w:szCs w:val="18"/>
        </w:rPr>
        <w:t>,</w:t>
      </w:r>
      <w:r w:rsidR="00337CFD">
        <w:rPr>
          <w:rFonts w:ascii="Arial" w:hAnsi="Arial" w:cs="Arial"/>
          <w:sz w:val="18"/>
          <w:szCs w:val="18"/>
        </w:rPr>
        <w:t>260</w:t>
      </w:r>
      <w:r>
        <w:rPr>
          <w:rFonts w:ascii="Arial" w:hAnsi="Arial" w:cs="Arial"/>
          <w:sz w:val="18"/>
          <w:szCs w:val="18"/>
        </w:rPr>
        <w:t>,</w:t>
      </w:r>
      <w:r w:rsidR="00337CFD">
        <w:rPr>
          <w:rFonts w:ascii="Arial" w:hAnsi="Arial" w:cs="Arial"/>
          <w:sz w:val="18"/>
          <w:szCs w:val="18"/>
        </w:rPr>
        <w:t>979</w:t>
      </w:r>
      <w:r>
        <w:rPr>
          <w:rFonts w:ascii="Arial" w:hAnsi="Arial" w:cs="Arial"/>
          <w:sz w:val="18"/>
          <w:szCs w:val="18"/>
        </w:rPr>
        <w:t xml:space="preserve">, siendo el rubro más importante el Fondo General de Participaciones ya que representa el </w:t>
      </w:r>
      <w:r w:rsidR="001054F7">
        <w:rPr>
          <w:rFonts w:ascii="Arial" w:hAnsi="Arial" w:cs="Arial"/>
          <w:sz w:val="18"/>
          <w:szCs w:val="18"/>
        </w:rPr>
        <w:t>7</w:t>
      </w:r>
      <w:r w:rsidR="00337CFD">
        <w:rPr>
          <w:rFonts w:ascii="Arial" w:hAnsi="Arial" w:cs="Arial"/>
          <w:sz w:val="18"/>
          <w:szCs w:val="18"/>
        </w:rPr>
        <w:t>6</w:t>
      </w:r>
      <w:r>
        <w:rPr>
          <w:rFonts w:ascii="Arial" w:hAnsi="Arial" w:cs="Arial"/>
          <w:sz w:val="18"/>
          <w:szCs w:val="18"/>
        </w:rPr>
        <w:t>%</w:t>
      </w:r>
      <w:r w:rsidR="001F4B7F">
        <w:rPr>
          <w:rFonts w:ascii="Arial" w:hAnsi="Arial" w:cs="Arial"/>
          <w:sz w:val="18"/>
          <w:szCs w:val="18"/>
        </w:rPr>
        <w:t>, del total de ingresos</w:t>
      </w:r>
      <w:r>
        <w:rPr>
          <w:rFonts w:ascii="Arial" w:hAnsi="Arial" w:cs="Arial"/>
          <w:sz w:val="18"/>
          <w:szCs w:val="18"/>
        </w:rPr>
        <w:t>.</w:t>
      </w:r>
    </w:p>
    <w:p w14:paraId="4B15A551" w14:textId="77777777" w:rsidR="00295FCC" w:rsidRDefault="00295FCC" w:rsidP="00295FCC">
      <w:pPr>
        <w:tabs>
          <w:tab w:val="left" w:pos="284"/>
        </w:tabs>
        <w:spacing w:after="0"/>
        <w:ind w:left="284"/>
        <w:jc w:val="both"/>
        <w:rPr>
          <w:rFonts w:ascii="Arial" w:hAnsi="Arial" w:cs="Arial"/>
          <w:sz w:val="18"/>
          <w:szCs w:val="18"/>
        </w:rPr>
      </w:pPr>
    </w:p>
    <w:p w14:paraId="1873ED25" w14:textId="77777777"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14:paraId="325D5A51" w14:textId="12BAAE04"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r w:rsidR="00DD43EF">
        <w:rPr>
          <w:rFonts w:ascii="Arial" w:hAnsi="Arial" w:cs="Arial"/>
          <w:sz w:val="18"/>
          <w:szCs w:val="18"/>
        </w:rPr>
        <w:t>marzo</w:t>
      </w:r>
      <w:r>
        <w:rPr>
          <w:rFonts w:ascii="Arial" w:hAnsi="Arial" w:cs="Arial"/>
          <w:sz w:val="18"/>
          <w:szCs w:val="18"/>
        </w:rPr>
        <w:t xml:space="preserve"> de 20</w:t>
      </w:r>
      <w:r w:rsidR="00B27A40">
        <w:rPr>
          <w:rFonts w:ascii="Arial" w:hAnsi="Arial" w:cs="Arial"/>
          <w:sz w:val="18"/>
          <w:szCs w:val="18"/>
        </w:rPr>
        <w:t>2</w:t>
      </w:r>
      <w:r w:rsidR="00DD43EF">
        <w:rPr>
          <w:rFonts w:ascii="Arial" w:hAnsi="Arial" w:cs="Arial"/>
          <w:sz w:val="18"/>
          <w:szCs w:val="18"/>
        </w:rPr>
        <w:t>4</w:t>
      </w:r>
      <w:r w:rsidR="006D1933">
        <w:rPr>
          <w:rFonts w:ascii="Arial" w:hAnsi="Arial" w:cs="Arial"/>
          <w:sz w:val="18"/>
          <w:szCs w:val="18"/>
        </w:rPr>
        <w:t xml:space="preserve"> </w:t>
      </w:r>
      <w:r w:rsidR="005F5707">
        <w:rPr>
          <w:rFonts w:ascii="Arial" w:hAnsi="Arial" w:cs="Arial"/>
          <w:sz w:val="18"/>
          <w:szCs w:val="18"/>
        </w:rPr>
        <w:t>sin incluir intereses</w:t>
      </w:r>
      <w:r>
        <w:rPr>
          <w:rFonts w:ascii="Arial" w:hAnsi="Arial" w:cs="Arial"/>
          <w:sz w:val="18"/>
          <w:szCs w:val="18"/>
        </w:rPr>
        <w:t xml:space="preserve"> reflejan los siguientes saldos:</w:t>
      </w:r>
    </w:p>
    <w:p w14:paraId="425E9FE8" w14:textId="77777777" w:rsidR="00134F21" w:rsidRDefault="00134F21" w:rsidP="00134F21">
      <w:pPr>
        <w:tabs>
          <w:tab w:val="left" w:pos="284"/>
        </w:tabs>
        <w:spacing w:after="0"/>
        <w:ind w:left="284"/>
        <w:jc w:val="both"/>
        <w:rPr>
          <w:rFonts w:ascii="Arial" w:hAnsi="Arial" w:cs="Arial"/>
          <w:sz w:val="18"/>
          <w:szCs w:val="18"/>
        </w:rPr>
      </w:pPr>
    </w:p>
    <w:tbl>
      <w:tblPr>
        <w:tblW w:w="8893" w:type="dxa"/>
        <w:jc w:val="center"/>
        <w:tblCellMar>
          <w:left w:w="70" w:type="dxa"/>
          <w:right w:w="70" w:type="dxa"/>
        </w:tblCellMar>
        <w:tblLook w:val="04A0" w:firstRow="1" w:lastRow="0" w:firstColumn="1" w:lastColumn="0" w:noHBand="0" w:noVBand="1"/>
      </w:tblPr>
      <w:tblGrid>
        <w:gridCol w:w="6102"/>
        <w:gridCol w:w="1577"/>
        <w:gridCol w:w="1214"/>
      </w:tblGrid>
      <w:tr w:rsidR="00AE0E84" w:rsidRPr="0004135F" w14:paraId="03D94A93" w14:textId="77777777" w:rsidTr="00EC5C97">
        <w:trPr>
          <w:trHeight w:val="307"/>
          <w:jc w:val="center"/>
        </w:trPr>
        <w:tc>
          <w:tcPr>
            <w:tcW w:w="6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294FE3"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CONCEPTO</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14:paraId="22EA91AE"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IMPORTE</w:t>
            </w:r>
          </w:p>
        </w:tc>
        <w:tc>
          <w:tcPr>
            <w:tcW w:w="1214" w:type="dxa"/>
            <w:tcBorders>
              <w:top w:val="single" w:sz="8" w:space="0" w:color="auto"/>
              <w:left w:val="nil"/>
              <w:bottom w:val="single" w:sz="8" w:space="0" w:color="auto"/>
              <w:right w:val="single" w:sz="8" w:space="0" w:color="auto"/>
            </w:tcBorders>
            <w:shd w:val="clear" w:color="auto" w:fill="auto"/>
            <w:noWrap/>
            <w:vAlign w:val="center"/>
            <w:hideMark/>
          </w:tcPr>
          <w:p w14:paraId="1BE38E5D"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PORCENTAJE</w:t>
            </w:r>
          </w:p>
        </w:tc>
      </w:tr>
      <w:tr w:rsidR="00AE0E84" w:rsidRPr="0004135F" w14:paraId="37B859A3"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20E932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DE APORTACIONES PARA LA NOMINA EDUCATIVA</w:t>
            </w:r>
          </w:p>
        </w:tc>
        <w:tc>
          <w:tcPr>
            <w:tcW w:w="1577" w:type="dxa"/>
            <w:tcBorders>
              <w:top w:val="nil"/>
              <w:left w:val="nil"/>
              <w:bottom w:val="single" w:sz="8" w:space="0" w:color="auto"/>
              <w:right w:val="single" w:sz="8" w:space="0" w:color="auto"/>
            </w:tcBorders>
            <w:shd w:val="clear" w:color="auto" w:fill="auto"/>
            <w:noWrap/>
            <w:vAlign w:val="center"/>
          </w:tcPr>
          <w:p w14:paraId="442F8639" w14:textId="37A26F75" w:rsidR="00AE0E84" w:rsidRPr="0004135F" w:rsidRDefault="00337CFD" w:rsidP="00EC5C9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69</w:t>
            </w:r>
            <w:r w:rsidR="00363494">
              <w:rPr>
                <w:rFonts w:eastAsia="Times New Roman" w:cstheme="minorHAnsi"/>
                <w:color w:val="000000"/>
                <w:sz w:val="20"/>
                <w:szCs w:val="18"/>
                <w:lang w:eastAsia="es-MX"/>
              </w:rPr>
              <w:t>,</w:t>
            </w:r>
            <w:r>
              <w:rPr>
                <w:rFonts w:eastAsia="Times New Roman" w:cstheme="minorHAnsi"/>
                <w:color w:val="000000"/>
                <w:sz w:val="20"/>
                <w:szCs w:val="18"/>
                <w:lang w:eastAsia="es-MX"/>
              </w:rPr>
              <w:t>615</w:t>
            </w:r>
            <w:r w:rsidR="00363494">
              <w:rPr>
                <w:rFonts w:eastAsia="Times New Roman" w:cstheme="minorHAnsi"/>
                <w:color w:val="000000"/>
                <w:sz w:val="20"/>
                <w:szCs w:val="18"/>
                <w:lang w:eastAsia="es-MX"/>
              </w:rPr>
              <w:t>,</w:t>
            </w:r>
            <w:r>
              <w:rPr>
                <w:rFonts w:eastAsia="Times New Roman" w:cstheme="minorHAnsi"/>
                <w:color w:val="000000"/>
                <w:sz w:val="20"/>
                <w:szCs w:val="18"/>
                <w:lang w:eastAsia="es-MX"/>
              </w:rPr>
              <w:t>431</w:t>
            </w:r>
          </w:p>
        </w:tc>
        <w:tc>
          <w:tcPr>
            <w:tcW w:w="1214" w:type="dxa"/>
            <w:tcBorders>
              <w:top w:val="nil"/>
              <w:left w:val="nil"/>
              <w:bottom w:val="single" w:sz="8" w:space="0" w:color="auto"/>
              <w:right w:val="single" w:sz="8" w:space="0" w:color="auto"/>
            </w:tcBorders>
            <w:shd w:val="clear" w:color="auto" w:fill="auto"/>
            <w:noWrap/>
            <w:vAlign w:val="center"/>
          </w:tcPr>
          <w:p w14:paraId="6E3D10BF" w14:textId="3A1C3507" w:rsidR="00AE0E84"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3.78</w:t>
            </w:r>
          </w:p>
        </w:tc>
      </w:tr>
      <w:tr w:rsidR="00AE0E84" w:rsidRPr="0004135F" w14:paraId="29AF4B44"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6538B92"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LOS SERVICIOS DE SALUD</w:t>
            </w:r>
          </w:p>
        </w:tc>
        <w:tc>
          <w:tcPr>
            <w:tcW w:w="1577" w:type="dxa"/>
            <w:tcBorders>
              <w:top w:val="nil"/>
              <w:left w:val="nil"/>
              <w:bottom w:val="single" w:sz="8" w:space="0" w:color="auto"/>
              <w:right w:val="single" w:sz="8" w:space="0" w:color="auto"/>
            </w:tcBorders>
            <w:shd w:val="clear" w:color="auto" w:fill="auto"/>
            <w:noWrap/>
            <w:vAlign w:val="center"/>
          </w:tcPr>
          <w:p w14:paraId="3E1E3336" w14:textId="3D23EE52" w:rsidR="00AE0E84" w:rsidRPr="0004135F" w:rsidRDefault="00337CFD"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585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120</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056</w:t>
            </w:r>
          </w:p>
        </w:tc>
        <w:tc>
          <w:tcPr>
            <w:tcW w:w="1214" w:type="dxa"/>
            <w:tcBorders>
              <w:top w:val="nil"/>
              <w:left w:val="nil"/>
              <w:bottom w:val="single" w:sz="8" w:space="0" w:color="auto"/>
              <w:right w:val="single" w:sz="8" w:space="0" w:color="auto"/>
            </w:tcBorders>
            <w:shd w:val="clear" w:color="auto" w:fill="auto"/>
            <w:noWrap/>
            <w:vAlign w:val="center"/>
          </w:tcPr>
          <w:p w14:paraId="279F69EC" w14:textId="589EDA7E" w:rsidR="00AE0E84"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31.81</w:t>
            </w:r>
          </w:p>
        </w:tc>
      </w:tr>
      <w:tr w:rsidR="00AE0E84" w:rsidRPr="0004135F" w14:paraId="5F7BB18B"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4E742F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ESTATAL)</w:t>
            </w:r>
          </w:p>
        </w:tc>
        <w:tc>
          <w:tcPr>
            <w:tcW w:w="1577" w:type="dxa"/>
            <w:tcBorders>
              <w:top w:val="nil"/>
              <w:left w:val="nil"/>
              <w:bottom w:val="single" w:sz="8" w:space="0" w:color="auto"/>
              <w:right w:val="single" w:sz="8" w:space="0" w:color="auto"/>
            </w:tcBorders>
            <w:shd w:val="clear" w:color="auto" w:fill="auto"/>
            <w:noWrap/>
            <w:vAlign w:val="center"/>
          </w:tcPr>
          <w:p w14:paraId="7700368C" w14:textId="40D6D8CF" w:rsidR="00AE0E84" w:rsidRPr="0004135F" w:rsidRDefault="00337CFD"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48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724</w:t>
            </w:r>
            <w:r w:rsidR="006141F9">
              <w:rPr>
                <w:rFonts w:eastAsia="Times New Roman" w:cstheme="minorHAnsi"/>
                <w:color w:val="000000"/>
                <w:sz w:val="20"/>
                <w:szCs w:val="18"/>
                <w:lang w:eastAsia="es-MX"/>
              </w:rPr>
              <w:t>,</w:t>
            </w:r>
            <w:r w:rsidR="00DD43EF">
              <w:rPr>
                <w:rFonts w:eastAsia="Times New Roman" w:cstheme="minorHAnsi"/>
                <w:color w:val="000000"/>
                <w:sz w:val="20"/>
                <w:szCs w:val="18"/>
                <w:lang w:eastAsia="es-MX"/>
              </w:rPr>
              <w:t>107</w:t>
            </w:r>
          </w:p>
        </w:tc>
        <w:tc>
          <w:tcPr>
            <w:tcW w:w="1214" w:type="dxa"/>
            <w:tcBorders>
              <w:top w:val="nil"/>
              <w:left w:val="nil"/>
              <w:bottom w:val="single" w:sz="8" w:space="0" w:color="auto"/>
              <w:right w:val="single" w:sz="8" w:space="0" w:color="auto"/>
            </w:tcBorders>
            <w:shd w:val="clear" w:color="auto" w:fill="auto"/>
            <w:noWrap/>
            <w:vAlign w:val="center"/>
          </w:tcPr>
          <w:p w14:paraId="5E3983A1" w14:textId="6BF6930E" w:rsidR="00AE0E84"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2.65</w:t>
            </w:r>
          </w:p>
        </w:tc>
      </w:tr>
      <w:tr w:rsidR="00AE0E84" w:rsidRPr="0004135F" w14:paraId="225880F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7571D9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MUNICIPAL)</w:t>
            </w:r>
          </w:p>
        </w:tc>
        <w:tc>
          <w:tcPr>
            <w:tcW w:w="1577" w:type="dxa"/>
            <w:tcBorders>
              <w:top w:val="nil"/>
              <w:left w:val="nil"/>
              <w:bottom w:val="single" w:sz="8" w:space="0" w:color="auto"/>
              <w:right w:val="single" w:sz="8" w:space="0" w:color="auto"/>
            </w:tcBorders>
            <w:shd w:val="clear" w:color="auto" w:fill="auto"/>
            <w:noWrap/>
            <w:vAlign w:val="center"/>
          </w:tcPr>
          <w:p w14:paraId="541688D0" w14:textId="1668A694" w:rsidR="00AE0E84" w:rsidRPr="0004135F" w:rsidRDefault="00DD43EF"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353</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241</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819</w:t>
            </w:r>
          </w:p>
        </w:tc>
        <w:tc>
          <w:tcPr>
            <w:tcW w:w="1214" w:type="dxa"/>
            <w:tcBorders>
              <w:top w:val="nil"/>
              <w:left w:val="nil"/>
              <w:bottom w:val="single" w:sz="8" w:space="0" w:color="auto"/>
              <w:right w:val="single" w:sz="8" w:space="0" w:color="auto"/>
            </w:tcBorders>
            <w:shd w:val="clear" w:color="auto" w:fill="auto"/>
            <w:noWrap/>
            <w:vAlign w:val="center"/>
          </w:tcPr>
          <w:p w14:paraId="7F8B696D" w14:textId="441C7EFE" w:rsidR="00AE0E84"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19.21</w:t>
            </w:r>
          </w:p>
        </w:tc>
      </w:tr>
      <w:tr w:rsidR="00AE0E84" w:rsidRPr="0004135F" w14:paraId="5EEA5785"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857919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FORTAMUN</w:t>
            </w:r>
          </w:p>
        </w:tc>
        <w:tc>
          <w:tcPr>
            <w:tcW w:w="1577" w:type="dxa"/>
            <w:tcBorders>
              <w:top w:val="nil"/>
              <w:left w:val="nil"/>
              <w:bottom w:val="single" w:sz="8" w:space="0" w:color="auto"/>
              <w:right w:val="single" w:sz="8" w:space="0" w:color="auto"/>
            </w:tcBorders>
            <w:shd w:val="clear" w:color="auto" w:fill="auto"/>
            <w:noWrap/>
            <w:vAlign w:val="center"/>
          </w:tcPr>
          <w:p w14:paraId="127A1BBD" w14:textId="6B2C99AC" w:rsidR="00AE0E84" w:rsidRPr="0004135F" w:rsidRDefault="00DD43EF"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316</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126</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059</w:t>
            </w:r>
          </w:p>
        </w:tc>
        <w:tc>
          <w:tcPr>
            <w:tcW w:w="1214" w:type="dxa"/>
            <w:tcBorders>
              <w:top w:val="nil"/>
              <w:left w:val="nil"/>
              <w:bottom w:val="single" w:sz="8" w:space="0" w:color="auto"/>
              <w:right w:val="single" w:sz="8" w:space="0" w:color="auto"/>
            </w:tcBorders>
            <w:shd w:val="clear" w:color="auto" w:fill="auto"/>
            <w:noWrap/>
            <w:vAlign w:val="center"/>
          </w:tcPr>
          <w:p w14:paraId="7186E41E" w14:textId="0D20B0AE" w:rsidR="000B552D"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17.19</w:t>
            </w:r>
          </w:p>
        </w:tc>
      </w:tr>
      <w:tr w:rsidR="00E828CB" w:rsidRPr="0004135F" w14:paraId="52FBE01A"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5F2C76A3" w14:textId="77777777" w:rsidR="00E828CB" w:rsidRPr="0004135F" w:rsidRDefault="00E828CB" w:rsidP="00E828CB">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FAM</w:t>
            </w:r>
          </w:p>
        </w:tc>
        <w:tc>
          <w:tcPr>
            <w:tcW w:w="1577" w:type="dxa"/>
            <w:tcBorders>
              <w:top w:val="nil"/>
              <w:left w:val="nil"/>
              <w:bottom w:val="single" w:sz="8" w:space="0" w:color="auto"/>
              <w:right w:val="single" w:sz="8" w:space="0" w:color="auto"/>
            </w:tcBorders>
            <w:shd w:val="clear" w:color="auto" w:fill="auto"/>
            <w:noWrap/>
            <w:vAlign w:val="center"/>
          </w:tcPr>
          <w:p w14:paraId="47D02594" w14:textId="675ED755" w:rsidR="00E828CB" w:rsidRPr="0004135F" w:rsidRDefault="00DD43EF"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148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801</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858</w:t>
            </w:r>
          </w:p>
        </w:tc>
        <w:tc>
          <w:tcPr>
            <w:tcW w:w="1214" w:type="dxa"/>
            <w:tcBorders>
              <w:top w:val="nil"/>
              <w:left w:val="nil"/>
              <w:bottom w:val="single" w:sz="8" w:space="0" w:color="auto"/>
              <w:right w:val="single" w:sz="8" w:space="0" w:color="auto"/>
            </w:tcBorders>
            <w:shd w:val="clear" w:color="auto" w:fill="auto"/>
            <w:noWrap/>
            <w:vAlign w:val="center"/>
          </w:tcPr>
          <w:p w14:paraId="173E7ADB" w14:textId="3B658F95" w:rsidR="00E828CB"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8.09</w:t>
            </w:r>
          </w:p>
        </w:tc>
      </w:tr>
      <w:tr w:rsidR="00AE0E84" w:rsidRPr="0004135F" w14:paraId="131947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3D1164C"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TECNOLOGICA)</w:t>
            </w:r>
          </w:p>
        </w:tc>
        <w:tc>
          <w:tcPr>
            <w:tcW w:w="1577" w:type="dxa"/>
            <w:tcBorders>
              <w:top w:val="nil"/>
              <w:left w:val="nil"/>
              <w:bottom w:val="single" w:sz="8" w:space="0" w:color="auto"/>
              <w:right w:val="single" w:sz="8" w:space="0" w:color="auto"/>
            </w:tcBorders>
            <w:shd w:val="clear" w:color="auto" w:fill="auto"/>
            <w:noWrap/>
            <w:vAlign w:val="center"/>
          </w:tcPr>
          <w:p w14:paraId="275114B6" w14:textId="707EB5AB" w:rsidR="00AE0E84" w:rsidRPr="0004135F" w:rsidRDefault="00DD43EF"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780</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267</w:t>
            </w:r>
          </w:p>
        </w:tc>
        <w:tc>
          <w:tcPr>
            <w:tcW w:w="1214" w:type="dxa"/>
            <w:tcBorders>
              <w:top w:val="nil"/>
              <w:left w:val="nil"/>
              <w:bottom w:val="single" w:sz="8" w:space="0" w:color="auto"/>
              <w:right w:val="single" w:sz="8" w:space="0" w:color="auto"/>
            </w:tcBorders>
            <w:shd w:val="clear" w:color="auto" w:fill="auto"/>
            <w:noWrap/>
            <w:vAlign w:val="center"/>
          </w:tcPr>
          <w:p w14:paraId="6C945F4F" w14:textId="78872623" w:rsidR="00AE0E84" w:rsidRPr="0004135F" w:rsidRDefault="00DD43EF" w:rsidP="000B552D">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0.80</w:t>
            </w:r>
          </w:p>
        </w:tc>
      </w:tr>
      <w:tr w:rsidR="00AE0E84" w:rsidRPr="0004135F" w14:paraId="78E636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BE0440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DE ADULTOS ITEA)</w:t>
            </w:r>
          </w:p>
        </w:tc>
        <w:tc>
          <w:tcPr>
            <w:tcW w:w="1577" w:type="dxa"/>
            <w:tcBorders>
              <w:top w:val="nil"/>
              <w:left w:val="nil"/>
              <w:bottom w:val="single" w:sz="8" w:space="0" w:color="auto"/>
              <w:right w:val="single" w:sz="8" w:space="0" w:color="auto"/>
            </w:tcBorders>
            <w:shd w:val="clear" w:color="auto" w:fill="auto"/>
            <w:noWrap/>
            <w:vAlign w:val="center"/>
          </w:tcPr>
          <w:p w14:paraId="759E2AD0" w14:textId="1143BA7B" w:rsidR="00AE0E84" w:rsidRPr="0004135F" w:rsidRDefault="00DD43EF"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16</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733</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059</w:t>
            </w:r>
          </w:p>
        </w:tc>
        <w:tc>
          <w:tcPr>
            <w:tcW w:w="1214" w:type="dxa"/>
            <w:tcBorders>
              <w:top w:val="nil"/>
              <w:left w:val="nil"/>
              <w:bottom w:val="single" w:sz="8" w:space="0" w:color="auto"/>
              <w:right w:val="single" w:sz="8" w:space="0" w:color="auto"/>
            </w:tcBorders>
            <w:shd w:val="clear" w:color="auto" w:fill="auto"/>
            <w:noWrap/>
            <w:vAlign w:val="center"/>
          </w:tcPr>
          <w:p w14:paraId="4FDD53D7" w14:textId="21A6642D" w:rsidR="00AE0E84" w:rsidRPr="0004135F" w:rsidRDefault="00DD43EF" w:rsidP="000B552D">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0.91</w:t>
            </w:r>
          </w:p>
        </w:tc>
      </w:tr>
      <w:tr w:rsidR="00AE0E84" w:rsidRPr="0004135F" w14:paraId="7598ED3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2CD3178"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LA SEGURIDAD PUBLICA</w:t>
            </w:r>
          </w:p>
        </w:tc>
        <w:tc>
          <w:tcPr>
            <w:tcW w:w="1577" w:type="dxa"/>
            <w:tcBorders>
              <w:top w:val="nil"/>
              <w:left w:val="nil"/>
              <w:bottom w:val="single" w:sz="8" w:space="0" w:color="auto"/>
              <w:right w:val="single" w:sz="8" w:space="0" w:color="auto"/>
            </w:tcBorders>
            <w:shd w:val="clear" w:color="auto" w:fill="auto"/>
            <w:noWrap/>
            <w:vAlign w:val="center"/>
          </w:tcPr>
          <w:p w14:paraId="04EF842A" w14:textId="24266BCA" w:rsidR="00AE0E84" w:rsidRPr="0004135F" w:rsidRDefault="00DD43EF"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640</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274</w:t>
            </w:r>
          </w:p>
        </w:tc>
        <w:tc>
          <w:tcPr>
            <w:tcW w:w="1214" w:type="dxa"/>
            <w:tcBorders>
              <w:top w:val="nil"/>
              <w:left w:val="nil"/>
              <w:bottom w:val="single" w:sz="8" w:space="0" w:color="auto"/>
              <w:right w:val="single" w:sz="8" w:space="0" w:color="auto"/>
            </w:tcBorders>
            <w:shd w:val="clear" w:color="auto" w:fill="auto"/>
            <w:noWrap/>
            <w:vAlign w:val="center"/>
          </w:tcPr>
          <w:p w14:paraId="73AE023E" w14:textId="2507FF5C" w:rsidR="00AE0E84"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3.19</w:t>
            </w:r>
          </w:p>
        </w:tc>
      </w:tr>
      <w:tr w:rsidR="00AE0E84" w:rsidRPr="0004135F" w14:paraId="67B290C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06D08DE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EL FORTALECIMIENTO DE ENTIDADES FEDERATIVAS</w:t>
            </w:r>
          </w:p>
        </w:tc>
        <w:tc>
          <w:tcPr>
            <w:tcW w:w="1577" w:type="dxa"/>
            <w:tcBorders>
              <w:top w:val="nil"/>
              <w:left w:val="nil"/>
              <w:bottom w:val="single" w:sz="8" w:space="0" w:color="auto"/>
              <w:right w:val="single" w:sz="8" w:space="0" w:color="auto"/>
            </w:tcBorders>
            <w:shd w:val="clear" w:color="auto" w:fill="auto"/>
            <w:noWrap/>
            <w:vAlign w:val="center"/>
          </w:tcPr>
          <w:p w14:paraId="09E19332" w14:textId="05A40D2B" w:rsidR="00AE0E84" w:rsidRPr="0004135F" w:rsidRDefault="00DD43EF"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22</w:t>
            </w:r>
            <w:r w:rsidR="00053994">
              <w:rPr>
                <w:rFonts w:eastAsia="Times New Roman" w:cstheme="minorHAnsi"/>
                <w:color w:val="000000"/>
                <w:sz w:val="20"/>
                <w:szCs w:val="18"/>
                <w:lang w:eastAsia="es-MX"/>
              </w:rPr>
              <w:t>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492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754</w:t>
            </w:r>
          </w:p>
        </w:tc>
        <w:tc>
          <w:tcPr>
            <w:tcW w:w="1214" w:type="dxa"/>
            <w:tcBorders>
              <w:top w:val="nil"/>
              <w:left w:val="nil"/>
              <w:bottom w:val="single" w:sz="8" w:space="0" w:color="auto"/>
              <w:right w:val="single" w:sz="8" w:space="0" w:color="auto"/>
            </w:tcBorders>
            <w:shd w:val="clear" w:color="auto" w:fill="auto"/>
            <w:noWrap/>
            <w:vAlign w:val="center"/>
          </w:tcPr>
          <w:p w14:paraId="2DD88D54" w14:textId="72E1AA4B" w:rsidR="00AE0E84"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12.37</w:t>
            </w:r>
          </w:p>
        </w:tc>
      </w:tr>
      <w:tr w:rsidR="00AE0E84" w:rsidRPr="0004135F" w14:paraId="0E203DF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8690426"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TOTAL</w:t>
            </w:r>
          </w:p>
        </w:tc>
        <w:tc>
          <w:tcPr>
            <w:tcW w:w="1577" w:type="dxa"/>
            <w:tcBorders>
              <w:top w:val="nil"/>
              <w:left w:val="nil"/>
              <w:bottom w:val="single" w:sz="8" w:space="0" w:color="auto"/>
              <w:right w:val="single" w:sz="8" w:space="0" w:color="auto"/>
            </w:tcBorders>
            <w:shd w:val="clear" w:color="auto" w:fill="auto"/>
            <w:noWrap/>
            <w:vAlign w:val="bottom"/>
            <w:hideMark/>
          </w:tcPr>
          <w:p w14:paraId="7FD1082F" w14:textId="6267BE80" w:rsidR="00AE0E84" w:rsidRPr="00053994" w:rsidRDefault="008A44D6" w:rsidP="008A44D6">
            <w:pPr>
              <w:spacing w:after="0" w:line="240" w:lineRule="auto"/>
              <w:jc w:val="right"/>
              <w:rPr>
                <w:rFonts w:eastAsia="Times New Roman" w:cstheme="minorHAnsi"/>
                <w:b/>
                <w:bCs/>
                <w:color w:val="000000"/>
                <w:sz w:val="20"/>
                <w:szCs w:val="18"/>
                <w:lang w:eastAsia="es-MX"/>
              </w:rPr>
            </w:pPr>
            <w:r w:rsidRPr="00053994">
              <w:rPr>
                <w:rFonts w:eastAsia="Times New Roman" w:cstheme="minorHAnsi"/>
                <w:b/>
                <w:bCs/>
                <w:color w:val="000000"/>
                <w:sz w:val="20"/>
                <w:szCs w:val="18"/>
                <w:lang w:eastAsia="es-MX"/>
              </w:rPr>
              <w:t xml:space="preserve">  </w:t>
            </w:r>
            <w:r w:rsidR="00053994" w:rsidRPr="00053994">
              <w:rPr>
                <w:rFonts w:eastAsia="Times New Roman" w:cstheme="minorHAnsi"/>
                <w:b/>
                <w:bCs/>
                <w:color w:val="000000"/>
                <w:sz w:val="20"/>
                <w:szCs w:val="18"/>
                <w:lang w:eastAsia="es-MX"/>
              </w:rPr>
              <w:t>1</w:t>
            </w:r>
            <w:r w:rsidR="00AE0E84" w:rsidRPr="00053994">
              <w:rPr>
                <w:rFonts w:eastAsia="Times New Roman" w:cstheme="minorHAnsi"/>
                <w:b/>
                <w:bCs/>
                <w:color w:val="000000"/>
                <w:sz w:val="20"/>
                <w:szCs w:val="18"/>
                <w:lang w:eastAsia="es-MX"/>
              </w:rPr>
              <w:t>,</w:t>
            </w:r>
            <w:r w:rsidR="00DD43EF">
              <w:rPr>
                <w:rFonts w:eastAsia="Times New Roman" w:cstheme="minorHAnsi"/>
                <w:b/>
                <w:bCs/>
                <w:color w:val="000000"/>
                <w:sz w:val="20"/>
                <w:szCs w:val="18"/>
                <w:lang w:eastAsia="es-MX"/>
              </w:rPr>
              <w:t>839</w:t>
            </w:r>
            <w:r w:rsidR="00AE0E84" w:rsidRPr="00053994">
              <w:rPr>
                <w:rFonts w:eastAsia="Times New Roman" w:cstheme="minorHAnsi"/>
                <w:b/>
                <w:bCs/>
                <w:color w:val="000000"/>
                <w:sz w:val="20"/>
                <w:szCs w:val="18"/>
                <w:lang w:eastAsia="es-MX"/>
              </w:rPr>
              <w:t>,</w:t>
            </w:r>
            <w:r w:rsidR="00DD43EF">
              <w:rPr>
                <w:rFonts w:eastAsia="Times New Roman" w:cstheme="minorHAnsi"/>
                <w:b/>
                <w:bCs/>
                <w:color w:val="000000"/>
                <w:sz w:val="20"/>
                <w:szCs w:val="18"/>
                <w:lang w:eastAsia="es-MX"/>
              </w:rPr>
              <w:t>2</w:t>
            </w:r>
            <w:r w:rsidR="00053994" w:rsidRPr="00053994">
              <w:rPr>
                <w:rFonts w:eastAsia="Times New Roman" w:cstheme="minorHAnsi"/>
                <w:b/>
                <w:bCs/>
                <w:color w:val="000000"/>
                <w:sz w:val="20"/>
                <w:szCs w:val="18"/>
                <w:lang w:eastAsia="es-MX"/>
              </w:rPr>
              <w:t>7</w:t>
            </w:r>
            <w:r w:rsidR="00DD43EF">
              <w:rPr>
                <w:rFonts w:eastAsia="Times New Roman" w:cstheme="minorHAnsi"/>
                <w:b/>
                <w:bCs/>
                <w:color w:val="000000"/>
                <w:sz w:val="20"/>
                <w:szCs w:val="18"/>
                <w:lang w:eastAsia="es-MX"/>
              </w:rPr>
              <w:t>5</w:t>
            </w:r>
            <w:r w:rsidR="00AE0E84" w:rsidRPr="00053994">
              <w:rPr>
                <w:rFonts w:eastAsia="Times New Roman" w:cstheme="minorHAnsi"/>
                <w:b/>
                <w:bCs/>
                <w:color w:val="000000"/>
                <w:sz w:val="20"/>
                <w:szCs w:val="18"/>
                <w:lang w:eastAsia="es-MX"/>
              </w:rPr>
              <w:t>,</w:t>
            </w:r>
            <w:r w:rsidR="00053994" w:rsidRPr="00053994">
              <w:rPr>
                <w:rFonts w:eastAsia="Times New Roman" w:cstheme="minorHAnsi"/>
                <w:b/>
                <w:bCs/>
                <w:color w:val="000000"/>
                <w:sz w:val="20"/>
                <w:szCs w:val="18"/>
                <w:lang w:eastAsia="es-MX"/>
              </w:rPr>
              <w:t>6</w:t>
            </w:r>
            <w:r w:rsidR="00DD43EF">
              <w:rPr>
                <w:rFonts w:eastAsia="Times New Roman" w:cstheme="minorHAnsi"/>
                <w:b/>
                <w:bCs/>
                <w:color w:val="000000"/>
                <w:sz w:val="20"/>
                <w:szCs w:val="18"/>
                <w:lang w:eastAsia="es-MX"/>
              </w:rPr>
              <w:t>8</w:t>
            </w:r>
            <w:r w:rsidR="00053994" w:rsidRPr="00053994">
              <w:rPr>
                <w:rFonts w:eastAsia="Times New Roman" w:cstheme="minorHAnsi"/>
                <w:b/>
                <w:bCs/>
                <w:color w:val="000000"/>
                <w:sz w:val="20"/>
                <w:szCs w:val="18"/>
                <w:lang w:eastAsia="es-MX"/>
              </w:rPr>
              <w:t>4</w:t>
            </w:r>
          </w:p>
        </w:tc>
        <w:tc>
          <w:tcPr>
            <w:tcW w:w="1214" w:type="dxa"/>
            <w:tcBorders>
              <w:top w:val="nil"/>
              <w:left w:val="nil"/>
              <w:bottom w:val="single" w:sz="8" w:space="0" w:color="auto"/>
              <w:right w:val="single" w:sz="8" w:space="0" w:color="auto"/>
            </w:tcBorders>
            <w:shd w:val="clear" w:color="auto" w:fill="auto"/>
            <w:noWrap/>
            <w:vAlign w:val="center"/>
            <w:hideMark/>
          </w:tcPr>
          <w:p w14:paraId="1133DFE0" w14:textId="694F2F6B" w:rsidR="00AE0E84" w:rsidRPr="00053994" w:rsidRDefault="00AE0E84" w:rsidP="00AE0E84">
            <w:pPr>
              <w:spacing w:after="0" w:line="240" w:lineRule="auto"/>
              <w:jc w:val="center"/>
              <w:rPr>
                <w:rFonts w:eastAsia="Times New Roman" w:cstheme="minorHAnsi"/>
                <w:b/>
                <w:bCs/>
                <w:color w:val="000000"/>
                <w:sz w:val="20"/>
                <w:szCs w:val="18"/>
                <w:lang w:eastAsia="es-MX"/>
              </w:rPr>
            </w:pPr>
            <w:r w:rsidRPr="00053994">
              <w:rPr>
                <w:rFonts w:eastAsia="Times New Roman" w:cstheme="minorHAnsi"/>
                <w:b/>
                <w:bCs/>
                <w:color w:val="000000"/>
                <w:sz w:val="20"/>
                <w:szCs w:val="18"/>
                <w:lang w:eastAsia="es-MX"/>
              </w:rPr>
              <w:t>100.0</w:t>
            </w:r>
            <w:r w:rsidR="00053994">
              <w:rPr>
                <w:rFonts w:eastAsia="Times New Roman" w:cstheme="minorHAnsi"/>
                <w:b/>
                <w:bCs/>
                <w:color w:val="000000"/>
                <w:sz w:val="20"/>
                <w:szCs w:val="18"/>
                <w:lang w:eastAsia="es-MX"/>
              </w:rPr>
              <w:t>0</w:t>
            </w:r>
          </w:p>
        </w:tc>
      </w:tr>
    </w:tbl>
    <w:p w14:paraId="05F5D8F1" w14:textId="77777777" w:rsidR="00AE0E84" w:rsidRDefault="00AE0E84" w:rsidP="00134F21">
      <w:pPr>
        <w:tabs>
          <w:tab w:val="left" w:pos="284"/>
        </w:tabs>
        <w:spacing w:after="0"/>
        <w:ind w:left="284"/>
        <w:jc w:val="both"/>
        <w:rPr>
          <w:rFonts w:ascii="Arial" w:hAnsi="Arial" w:cs="Arial"/>
          <w:sz w:val="18"/>
          <w:szCs w:val="18"/>
        </w:rPr>
      </w:pPr>
    </w:p>
    <w:p w14:paraId="43904F78"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14:paraId="12459819" w14:textId="0322B4A5"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FE4134">
        <w:rPr>
          <w:rFonts w:ascii="Arial" w:hAnsi="Arial" w:cs="Arial"/>
          <w:sz w:val="18"/>
          <w:szCs w:val="18"/>
        </w:rPr>
        <w:t>marzo</w:t>
      </w:r>
      <w:r>
        <w:rPr>
          <w:rFonts w:ascii="Arial" w:hAnsi="Arial" w:cs="Arial"/>
          <w:sz w:val="18"/>
          <w:szCs w:val="18"/>
        </w:rPr>
        <w:t xml:space="preserve"> del ejercicio 20</w:t>
      </w:r>
      <w:r w:rsidR="001340E0">
        <w:rPr>
          <w:rFonts w:ascii="Arial" w:hAnsi="Arial" w:cs="Arial"/>
          <w:sz w:val="18"/>
          <w:szCs w:val="18"/>
        </w:rPr>
        <w:t>2</w:t>
      </w:r>
      <w:r w:rsidR="00FE4134">
        <w:rPr>
          <w:rFonts w:ascii="Arial" w:hAnsi="Arial" w:cs="Arial"/>
          <w:sz w:val="18"/>
          <w:szCs w:val="18"/>
        </w:rPr>
        <w:t>4</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FE4134">
        <w:rPr>
          <w:rFonts w:ascii="Arial" w:hAnsi="Arial" w:cs="Arial"/>
          <w:sz w:val="18"/>
          <w:szCs w:val="18"/>
        </w:rPr>
        <w:t>457</w:t>
      </w:r>
      <w:r w:rsidR="0098545B">
        <w:rPr>
          <w:rFonts w:ascii="Arial" w:hAnsi="Arial" w:cs="Arial"/>
          <w:sz w:val="18"/>
          <w:szCs w:val="18"/>
        </w:rPr>
        <w:t>,</w:t>
      </w:r>
      <w:r w:rsidR="00FE4134">
        <w:rPr>
          <w:rFonts w:ascii="Arial" w:hAnsi="Arial" w:cs="Arial"/>
          <w:sz w:val="18"/>
          <w:szCs w:val="18"/>
        </w:rPr>
        <w:t>869</w:t>
      </w:r>
      <w:r w:rsidR="0098545B">
        <w:rPr>
          <w:rFonts w:ascii="Arial" w:hAnsi="Arial" w:cs="Arial"/>
          <w:sz w:val="18"/>
          <w:szCs w:val="18"/>
        </w:rPr>
        <w:t>,</w:t>
      </w:r>
      <w:r w:rsidR="00FE4134">
        <w:rPr>
          <w:rFonts w:ascii="Arial" w:hAnsi="Arial" w:cs="Arial"/>
          <w:sz w:val="18"/>
          <w:szCs w:val="18"/>
        </w:rPr>
        <w:t>233</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14:paraId="12E8A0F8" w14:textId="77777777" w:rsidR="00251F0D" w:rsidRDefault="00251F0D" w:rsidP="00332091">
      <w:pPr>
        <w:pStyle w:val="ROMANOS"/>
        <w:tabs>
          <w:tab w:val="clear" w:pos="720"/>
          <w:tab w:val="left" w:pos="284"/>
        </w:tabs>
        <w:spacing w:after="0" w:line="276" w:lineRule="auto"/>
        <w:ind w:left="284" w:firstLine="0"/>
        <w:rPr>
          <w:b/>
          <w:lang w:val="es-MX"/>
        </w:rPr>
      </w:pPr>
    </w:p>
    <w:p w14:paraId="0174122E" w14:textId="77777777"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14:paraId="5CEA1825" w14:textId="77777777" w:rsidR="006D2166" w:rsidRDefault="006D2166" w:rsidP="00332091">
      <w:pPr>
        <w:tabs>
          <w:tab w:val="left" w:pos="284"/>
        </w:tabs>
        <w:spacing w:after="0"/>
        <w:ind w:left="284"/>
        <w:jc w:val="both"/>
        <w:rPr>
          <w:rFonts w:ascii="Arial" w:hAnsi="Arial" w:cs="Arial"/>
          <w:b/>
          <w:sz w:val="18"/>
          <w:szCs w:val="18"/>
        </w:rPr>
      </w:pPr>
    </w:p>
    <w:p w14:paraId="1BAD2E71"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14:paraId="5DDB72AD" w14:textId="62CAA42B"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FE4134">
        <w:rPr>
          <w:rFonts w:ascii="Arial" w:hAnsi="Arial" w:cs="Arial"/>
          <w:sz w:val="18"/>
          <w:szCs w:val="18"/>
        </w:rPr>
        <w:t>primer</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FE4134">
        <w:rPr>
          <w:rFonts w:ascii="Arial" w:hAnsi="Arial" w:cs="Arial"/>
          <w:sz w:val="18"/>
          <w:szCs w:val="18"/>
        </w:rPr>
        <w:t>4</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FE4134">
        <w:rPr>
          <w:rFonts w:ascii="Arial" w:hAnsi="Arial" w:cs="Arial"/>
          <w:sz w:val="18"/>
          <w:szCs w:val="18"/>
        </w:rPr>
        <w:t>marzo</w:t>
      </w:r>
      <w:r w:rsidR="00134F21">
        <w:rPr>
          <w:rFonts w:ascii="Arial" w:hAnsi="Arial" w:cs="Arial"/>
          <w:sz w:val="18"/>
          <w:szCs w:val="18"/>
        </w:rPr>
        <w:t xml:space="preserve"> por este concepto un monto de $</w:t>
      </w:r>
      <w:r w:rsidR="00FE4134">
        <w:rPr>
          <w:rFonts w:ascii="Arial" w:hAnsi="Arial" w:cs="Arial"/>
          <w:sz w:val="18"/>
          <w:szCs w:val="18"/>
        </w:rPr>
        <w:t>683</w:t>
      </w:r>
      <w:r w:rsidR="00134F21">
        <w:rPr>
          <w:rFonts w:ascii="Arial" w:hAnsi="Arial" w:cs="Arial"/>
          <w:sz w:val="18"/>
          <w:szCs w:val="18"/>
        </w:rPr>
        <w:t>,</w:t>
      </w:r>
      <w:r w:rsidR="00FE4134">
        <w:rPr>
          <w:rFonts w:ascii="Arial" w:hAnsi="Arial" w:cs="Arial"/>
          <w:sz w:val="18"/>
          <w:szCs w:val="18"/>
        </w:rPr>
        <w:t>587</w:t>
      </w:r>
      <w:r w:rsidR="00134F21">
        <w:rPr>
          <w:rFonts w:ascii="Arial" w:hAnsi="Arial" w:cs="Arial"/>
          <w:sz w:val="18"/>
          <w:szCs w:val="18"/>
        </w:rPr>
        <w:t>,</w:t>
      </w:r>
      <w:r w:rsidR="00FE4134">
        <w:rPr>
          <w:rFonts w:ascii="Arial" w:hAnsi="Arial" w:cs="Arial"/>
          <w:sz w:val="18"/>
          <w:szCs w:val="18"/>
        </w:rPr>
        <w:t>289</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r w:rsidR="007615D9">
        <w:rPr>
          <w:rFonts w:ascii="Arial" w:hAnsi="Arial" w:cs="Arial"/>
          <w:sz w:val="18"/>
          <w:szCs w:val="18"/>
        </w:rPr>
        <w:t xml:space="preserve"> Lo que representa un </w:t>
      </w:r>
      <w:r w:rsidR="00FE4134">
        <w:rPr>
          <w:rFonts w:ascii="Arial" w:hAnsi="Arial" w:cs="Arial"/>
          <w:sz w:val="18"/>
          <w:szCs w:val="18"/>
        </w:rPr>
        <w:t>dec</w:t>
      </w:r>
      <w:r w:rsidR="007615D9">
        <w:rPr>
          <w:rFonts w:ascii="Arial" w:hAnsi="Arial" w:cs="Arial"/>
          <w:sz w:val="18"/>
          <w:szCs w:val="18"/>
        </w:rPr>
        <w:t xml:space="preserve">remento del </w:t>
      </w:r>
      <w:r w:rsidR="00935A49">
        <w:rPr>
          <w:rFonts w:ascii="Arial" w:hAnsi="Arial" w:cs="Arial"/>
          <w:sz w:val="18"/>
          <w:szCs w:val="18"/>
        </w:rPr>
        <w:t>3</w:t>
      </w:r>
      <w:r w:rsidR="007615D9">
        <w:rPr>
          <w:rFonts w:ascii="Arial" w:hAnsi="Arial" w:cs="Arial"/>
          <w:sz w:val="18"/>
          <w:szCs w:val="18"/>
        </w:rPr>
        <w:t xml:space="preserve">% respecto al </w:t>
      </w:r>
      <w:r w:rsidR="00935A49">
        <w:rPr>
          <w:rFonts w:ascii="Arial" w:hAnsi="Arial" w:cs="Arial"/>
          <w:sz w:val="18"/>
          <w:szCs w:val="18"/>
        </w:rPr>
        <w:t xml:space="preserve">mismo trimestre del </w:t>
      </w:r>
      <w:r w:rsidR="007615D9">
        <w:rPr>
          <w:rFonts w:ascii="Arial" w:hAnsi="Arial" w:cs="Arial"/>
          <w:sz w:val="18"/>
          <w:szCs w:val="18"/>
        </w:rPr>
        <w:t>ejercicio 202</w:t>
      </w:r>
      <w:r w:rsidR="00FE4134">
        <w:rPr>
          <w:rFonts w:ascii="Arial" w:hAnsi="Arial" w:cs="Arial"/>
          <w:sz w:val="18"/>
          <w:szCs w:val="18"/>
        </w:rPr>
        <w:t>3</w:t>
      </w:r>
      <w:r w:rsidR="009E71C0">
        <w:rPr>
          <w:rFonts w:ascii="Arial" w:hAnsi="Arial" w:cs="Arial"/>
          <w:sz w:val="18"/>
          <w:szCs w:val="18"/>
        </w:rPr>
        <w:t>.</w:t>
      </w:r>
    </w:p>
    <w:p w14:paraId="46CB3794" w14:textId="77777777" w:rsidR="004F5AA8" w:rsidRDefault="004F5AA8" w:rsidP="00332091">
      <w:pPr>
        <w:tabs>
          <w:tab w:val="left" w:pos="284"/>
        </w:tabs>
        <w:spacing w:after="0"/>
        <w:ind w:left="284"/>
        <w:jc w:val="both"/>
        <w:rPr>
          <w:rFonts w:ascii="Arial" w:hAnsi="Arial" w:cs="Arial"/>
          <w:b/>
          <w:sz w:val="18"/>
          <w:szCs w:val="18"/>
        </w:rPr>
      </w:pPr>
    </w:p>
    <w:p w14:paraId="7D2015B5"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14:paraId="57E33949" w14:textId="33B572D4" w:rsidR="00935A49" w:rsidRDefault="00134F21" w:rsidP="00935A49">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w:t>
      </w:r>
      <w:r w:rsidR="00355E3E">
        <w:rPr>
          <w:rFonts w:ascii="Arial" w:hAnsi="Arial" w:cs="Arial"/>
          <w:sz w:val="18"/>
          <w:szCs w:val="18"/>
        </w:rPr>
        <w:t>20</w:t>
      </w:r>
      <w:r>
        <w:rPr>
          <w:rFonts w:ascii="Arial" w:hAnsi="Arial" w:cs="Arial"/>
          <w:sz w:val="18"/>
          <w:szCs w:val="18"/>
        </w:rPr>
        <w:t>,</w:t>
      </w:r>
      <w:r w:rsidR="00355E3E">
        <w:rPr>
          <w:rFonts w:ascii="Arial" w:hAnsi="Arial" w:cs="Arial"/>
          <w:sz w:val="18"/>
          <w:szCs w:val="18"/>
        </w:rPr>
        <w:t>085</w:t>
      </w:r>
      <w:r>
        <w:rPr>
          <w:rFonts w:ascii="Arial" w:hAnsi="Arial" w:cs="Arial"/>
          <w:sz w:val="18"/>
          <w:szCs w:val="18"/>
        </w:rPr>
        <w:t>,</w:t>
      </w:r>
      <w:r w:rsidR="00355E3E">
        <w:rPr>
          <w:rFonts w:ascii="Arial" w:hAnsi="Arial" w:cs="Arial"/>
          <w:sz w:val="18"/>
          <w:szCs w:val="18"/>
        </w:rPr>
        <w:t>937</w:t>
      </w:r>
      <w:r w:rsidRPr="0073056A">
        <w:rPr>
          <w:rFonts w:ascii="Arial" w:hAnsi="Arial" w:cs="Arial"/>
          <w:sz w:val="18"/>
          <w:szCs w:val="18"/>
        </w:rPr>
        <w:t>.</w:t>
      </w:r>
      <w:r w:rsidR="00935A49">
        <w:rPr>
          <w:rFonts w:ascii="Arial" w:hAnsi="Arial" w:cs="Arial"/>
          <w:sz w:val="18"/>
          <w:szCs w:val="18"/>
        </w:rPr>
        <w:t xml:space="preserve"> Lo que representa un incremento del </w:t>
      </w:r>
      <w:r w:rsidR="00E660B4">
        <w:rPr>
          <w:rFonts w:ascii="Arial" w:hAnsi="Arial" w:cs="Arial"/>
          <w:sz w:val="18"/>
          <w:szCs w:val="18"/>
        </w:rPr>
        <w:t>1</w:t>
      </w:r>
      <w:r w:rsidR="00935A49">
        <w:rPr>
          <w:rFonts w:ascii="Arial" w:hAnsi="Arial" w:cs="Arial"/>
          <w:sz w:val="18"/>
          <w:szCs w:val="18"/>
        </w:rPr>
        <w:t>3% respecto al mismo trimestre del ejercicio 2023.</w:t>
      </w:r>
    </w:p>
    <w:p w14:paraId="06AB81C5" w14:textId="77777777" w:rsidR="00661352" w:rsidRDefault="00661352" w:rsidP="00332091">
      <w:pPr>
        <w:tabs>
          <w:tab w:val="left" w:pos="284"/>
        </w:tabs>
        <w:spacing w:after="0"/>
        <w:ind w:left="284"/>
        <w:jc w:val="both"/>
        <w:rPr>
          <w:rFonts w:ascii="Arial" w:hAnsi="Arial" w:cs="Arial"/>
          <w:b/>
          <w:sz w:val="18"/>
          <w:szCs w:val="18"/>
        </w:rPr>
      </w:pPr>
    </w:p>
    <w:p w14:paraId="7C9E2433"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14:paraId="59DFBD39" w14:textId="00B40BD2"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355E3E">
        <w:rPr>
          <w:rFonts w:ascii="Arial" w:hAnsi="Arial" w:cs="Arial"/>
          <w:sz w:val="18"/>
          <w:szCs w:val="18"/>
        </w:rPr>
        <w:t>marzo</w:t>
      </w:r>
      <w:r>
        <w:rPr>
          <w:rFonts w:ascii="Arial" w:hAnsi="Arial" w:cs="Arial"/>
          <w:sz w:val="18"/>
          <w:szCs w:val="18"/>
        </w:rPr>
        <w:t xml:space="preserve"> de 20</w:t>
      </w:r>
      <w:r w:rsidR="00AA16F7">
        <w:rPr>
          <w:rFonts w:ascii="Arial" w:hAnsi="Arial" w:cs="Arial"/>
          <w:sz w:val="18"/>
          <w:szCs w:val="18"/>
        </w:rPr>
        <w:t>2</w:t>
      </w:r>
      <w:r w:rsidR="00355E3E">
        <w:rPr>
          <w:rFonts w:ascii="Arial" w:hAnsi="Arial" w:cs="Arial"/>
          <w:sz w:val="18"/>
          <w:szCs w:val="18"/>
        </w:rPr>
        <w:t>4</w:t>
      </w:r>
      <w:r>
        <w:rPr>
          <w:rFonts w:ascii="Arial" w:hAnsi="Arial" w:cs="Arial"/>
          <w:sz w:val="18"/>
          <w:szCs w:val="18"/>
        </w:rPr>
        <w:t xml:space="preserve"> es de $</w:t>
      </w:r>
      <w:r w:rsidR="00355E3E">
        <w:rPr>
          <w:rFonts w:ascii="Arial" w:hAnsi="Arial" w:cs="Arial"/>
          <w:sz w:val="18"/>
          <w:szCs w:val="18"/>
        </w:rPr>
        <w:t>47</w:t>
      </w:r>
      <w:r w:rsidR="009E71C0">
        <w:rPr>
          <w:rFonts w:ascii="Arial" w:hAnsi="Arial" w:cs="Arial"/>
          <w:sz w:val="18"/>
          <w:szCs w:val="18"/>
        </w:rPr>
        <w:t>,</w:t>
      </w:r>
      <w:r w:rsidR="00355E3E">
        <w:rPr>
          <w:rFonts w:ascii="Arial" w:hAnsi="Arial" w:cs="Arial"/>
          <w:sz w:val="18"/>
          <w:szCs w:val="18"/>
        </w:rPr>
        <w:t>838</w:t>
      </w:r>
      <w:r w:rsidR="00BA3B1D">
        <w:rPr>
          <w:rFonts w:ascii="Arial" w:hAnsi="Arial" w:cs="Arial"/>
          <w:sz w:val="18"/>
          <w:szCs w:val="18"/>
        </w:rPr>
        <w:t>,</w:t>
      </w:r>
      <w:r w:rsidR="00355E3E">
        <w:rPr>
          <w:rFonts w:ascii="Arial" w:hAnsi="Arial" w:cs="Arial"/>
          <w:sz w:val="18"/>
          <w:szCs w:val="18"/>
        </w:rPr>
        <w:t>455</w:t>
      </w:r>
      <w:r w:rsidRPr="0073056A">
        <w:rPr>
          <w:rFonts w:ascii="Arial" w:hAnsi="Arial" w:cs="Arial"/>
          <w:sz w:val="18"/>
          <w:szCs w:val="18"/>
        </w:rPr>
        <w:t>.</w:t>
      </w:r>
      <w:r w:rsidR="007615D9">
        <w:rPr>
          <w:rFonts w:ascii="Arial" w:hAnsi="Arial" w:cs="Arial"/>
          <w:sz w:val="18"/>
          <w:szCs w:val="18"/>
        </w:rPr>
        <w:t xml:space="preserve"> Lo que representa un </w:t>
      </w:r>
      <w:r w:rsidR="00355E3E">
        <w:rPr>
          <w:rFonts w:ascii="Arial" w:hAnsi="Arial" w:cs="Arial"/>
          <w:sz w:val="18"/>
          <w:szCs w:val="18"/>
        </w:rPr>
        <w:t>de</w:t>
      </w:r>
      <w:r w:rsidR="007615D9">
        <w:rPr>
          <w:rFonts w:ascii="Arial" w:hAnsi="Arial" w:cs="Arial"/>
          <w:sz w:val="18"/>
          <w:szCs w:val="18"/>
        </w:rPr>
        <w:t xml:space="preserve">cremento del </w:t>
      </w:r>
      <w:r w:rsidR="00355E3E">
        <w:rPr>
          <w:rFonts w:ascii="Arial" w:hAnsi="Arial" w:cs="Arial"/>
          <w:sz w:val="18"/>
          <w:szCs w:val="18"/>
        </w:rPr>
        <w:t>1</w:t>
      </w:r>
      <w:r w:rsidR="00E660B4">
        <w:rPr>
          <w:rFonts w:ascii="Arial" w:hAnsi="Arial" w:cs="Arial"/>
          <w:sz w:val="18"/>
          <w:szCs w:val="18"/>
        </w:rPr>
        <w:t>4</w:t>
      </w:r>
      <w:r w:rsidR="007615D9">
        <w:rPr>
          <w:rFonts w:ascii="Arial" w:hAnsi="Arial" w:cs="Arial"/>
          <w:sz w:val="18"/>
          <w:szCs w:val="18"/>
        </w:rPr>
        <w:t xml:space="preserve">% respecto al </w:t>
      </w:r>
      <w:r w:rsidR="00E660B4">
        <w:rPr>
          <w:rFonts w:ascii="Arial" w:hAnsi="Arial" w:cs="Arial"/>
          <w:sz w:val="18"/>
          <w:szCs w:val="18"/>
        </w:rPr>
        <w:t xml:space="preserve">mismo periodo del </w:t>
      </w:r>
      <w:r w:rsidR="007615D9">
        <w:rPr>
          <w:rFonts w:ascii="Arial" w:hAnsi="Arial" w:cs="Arial"/>
          <w:sz w:val="18"/>
          <w:szCs w:val="18"/>
        </w:rPr>
        <w:t>ejercicio 202</w:t>
      </w:r>
      <w:r w:rsidR="00355E3E">
        <w:rPr>
          <w:rFonts w:ascii="Arial" w:hAnsi="Arial" w:cs="Arial"/>
          <w:sz w:val="18"/>
          <w:szCs w:val="18"/>
        </w:rPr>
        <w:t>3.</w:t>
      </w:r>
    </w:p>
    <w:p w14:paraId="776B27EB" w14:textId="77777777" w:rsidR="00661352" w:rsidRDefault="00661352" w:rsidP="00332091">
      <w:pPr>
        <w:tabs>
          <w:tab w:val="left" w:pos="284"/>
        </w:tabs>
        <w:spacing w:after="0"/>
        <w:ind w:left="284"/>
        <w:jc w:val="both"/>
        <w:rPr>
          <w:rFonts w:ascii="Arial" w:hAnsi="Arial" w:cs="Arial"/>
          <w:b/>
          <w:sz w:val="18"/>
          <w:szCs w:val="18"/>
        </w:rPr>
      </w:pPr>
    </w:p>
    <w:p w14:paraId="64E75802"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14:paraId="764B149F" w14:textId="56770FA6" w:rsidR="00E660B4" w:rsidRPr="0073056A" w:rsidRDefault="00F40A84" w:rsidP="00E660B4">
      <w:pPr>
        <w:tabs>
          <w:tab w:val="left" w:pos="284"/>
        </w:tabs>
        <w:spacing w:after="0"/>
        <w:ind w:left="284"/>
        <w:jc w:val="both"/>
        <w:rPr>
          <w:rFonts w:ascii="Arial" w:hAnsi="Arial" w:cs="Arial"/>
          <w:sz w:val="18"/>
          <w:szCs w:val="18"/>
        </w:rPr>
      </w:pPr>
      <w:r w:rsidRPr="00D14208">
        <w:rPr>
          <w:rFonts w:ascii="Arial" w:hAnsi="Arial" w:cs="Arial"/>
          <w:sz w:val="18"/>
          <w:szCs w:val="18"/>
        </w:rPr>
        <w:lastRenderedPageBreak/>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proofErr w:type="gramStart"/>
      <w:r>
        <w:rPr>
          <w:rFonts w:ascii="Arial" w:hAnsi="Arial" w:cs="Arial"/>
          <w:sz w:val="18"/>
          <w:szCs w:val="18"/>
        </w:rPr>
        <w:t>que</w:t>
      </w:r>
      <w:proofErr w:type="gramEnd"/>
      <w:r>
        <w:rPr>
          <w:rFonts w:ascii="Arial" w:hAnsi="Arial" w:cs="Arial"/>
          <w:sz w:val="18"/>
          <w:szCs w:val="18"/>
        </w:rPr>
        <w:t xml:space="preserve"> al mes de </w:t>
      </w:r>
      <w:r w:rsidR="00355E3E">
        <w:rPr>
          <w:rFonts w:ascii="Arial" w:hAnsi="Arial" w:cs="Arial"/>
          <w:sz w:val="18"/>
          <w:szCs w:val="18"/>
        </w:rPr>
        <w:t>marzo</w:t>
      </w:r>
      <w:r>
        <w:rPr>
          <w:rFonts w:ascii="Arial" w:hAnsi="Arial" w:cs="Arial"/>
          <w:sz w:val="18"/>
          <w:szCs w:val="18"/>
        </w:rPr>
        <w:t xml:space="preserve"> de 20</w:t>
      </w:r>
      <w:r w:rsidR="00AA16F7">
        <w:rPr>
          <w:rFonts w:ascii="Arial" w:hAnsi="Arial" w:cs="Arial"/>
          <w:sz w:val="18"/>
          <w:szCs w:val="18"/>
        </w:rPr>
        <w:t>2</w:t>
      </w:r>
      <w:r w:rsidR="00355E3E">
        <w:rPr>
          <w:rFonts w:ascii="Arial" w:hAnsi="Arial" w:cs="Arial"/>
          <w:sz w:val="18"/>
          <w:szCs w:val="18"/>
        </w:rPr>
        <w:t>4</w:t>
      </w:r>
      <w:r>
        <w:rPr>
          <w:rFonts w:ascii="Arial" w:hAnsi="Arial" w:cs="Arial"/>
          <w:sz w:val="18"/>
          <w:szCs w:val="18"/>
        </w:rPr>
        <w:t>, observan un monto de $</w:t>
      </w:r>
      <w:r w:rsidR="00355E3E">
        <w:rPr>
          <w:rFonts w:ascii="Arial" w:hAnsi="Arial" w:cs="Arial"/>
          <w:sz w:val="18"/>
          <w:szCs w:val="18"/>
        </w:rPr>
        <w:t>2</w:t>
      </w:r>
      <w:r w:rsidR="001A78A4">
        <w:rPr>
          <w:rFonts w:ascii="Arial" w:hAnsi="Arial" w:cs="Arial"/>
          <w:sz w:val="18"/>
          <w:szCs w:val="18"/>
        </w:rPr>
        <w:t>,</w:t>
      </w:r>
      <w:r w:rsidR="00355E3E">
        <w:rPr>
          <w:rFonts w:ascii="Arial" w:hAnsi="Arial" w:cs="Arial"/>
          <w:sz w:val="18"/>
          <w:szCs w:val="18"/>
        </w:rPr>
        <w:t>385</w:t>
      </w:r>
      <w:r>
        <w:rPr>
          <w:rFonts w:ascii="Arial" w:hAnsi="Arial" w:cs="Arial"/>
          <w:sz w:val="18"/>
          <w:szCs w:val="18"/>
        </w:rPr>
        <w:t>,</w:t>
      </w:r>
      <w:r w:rsidR="00355E3E">
        <w:rPr>
          <w:rFonts w:ascii="Arial" w:hAnsi="Arial" w:cs="Arial"/>
          <w:sz w:val="18"/>
          <w:szCs w:val="18"/>
        </w:rPr>
        <w:t>490</w:t>
      </w:r>
      <w:r>
        <w:rPr>
          <w:rFonts w:ascii="Arial" w:hAnsi="Arial" w:cs="Arial"/>
          <w:sz w:val="18"/>
          <w:szCs w:val="18"/>
        </w:rPr>
        <w:t>,</w:t>
      </w:r>
      <w:r w:rsidR="00355E3E">
        <w:rPr>
          <w:rFonts w:ascii="Arial" w:hAnsi="Arial" w:cs="Arial"/>
          <w:sz w:val="18"/>
          <w:szCs w:val="18"/>
        </w:rPr>
        <w:t>583</w:t>
      </w:r>
      <w:r>
        <w:rPr>
          <w:rFonts w:ascii="Arial" w:hAnsi="Arial" w:cs="Arial"/>
          <w:sz w:val="18"/>
          <w:szCs w:val="18"/>
        </w:rPr>
        <w:t xml:space="preserve"> de los cuales los principales sectores que reciben estas asignaciones son el sector educativo al cual le corresponde el </w:t>
      </w:r>
      <w:r w:rsidR="00355E3E">
        <w:rPr>
          <w:rFonts w:ascii="Arial" w:hAnsi="Arial" w:cs="Arial"/>
          <w:sz w:val="18"/>
          <w:szCs w:val="18"/>
        </w:rPr>
        <w:t>34%</w:t>
      </w:r>
      <w:r>
        <w:rPr>
          <w:rFonts w:ascii="Arial" w:hAnsi="Arial" w:cs="Arial"/>
          <w:sz w:val="18"/>
          <w:szCs w:val="18"/>
        </w:rPr>
        <w:t xml:space="preserve"> y el sector salud con un </w:t>
      </w:r>
      <w:r w:rsidR="00155DFE">
        <w:rPr>
          <w:rFonts w:ascii="Arial" w:hAnsi="Arial" w:cs="Arial"/>
          <w:sz w:val="18"/>
          <w:szCs w:val="18"/>
        </w:rPr>
        <w:t>5</w:t>
      </w:r>
      <w:r w:rsidR="00355E3E">
        <w:rPr>
          <w:rFonts w:ascii="Arial" w:hAnsi="Arial" w:cs="Arial"/>
          <w:sz w:val="18"/>
          <w:szCs w:val="18"/>
        </w:rPr>
        <w:t>0</w:t>
      </w:r>
      <w:r>
        <w:rPr>
          <w:rFonts w:ascii="Arial" w:hAnsi="Arial" w:cs="Arial"/>
          <w:sz w:val="18"/>
          <w:szCs w:val="18"/>
        </w:rPr>
        <w:t>%</w:t>
      </w:r>
      <w:r w:rsidR="00155DFE">
        <w:rPr>
          <w:rFonts w:ascii="Arial" w:hAnsi="Arial" w:cs="Arial"/>
          <w:sz w:val="18"/>
          <w:szCs w:val="18"/>
        </w:rPr>
        <w:t>,</w:t>
      </w:r>
      <w:r>
        <w:rPr>
          <w:rFonts w:ascii="Arial" w:hAnsi="Arial" w:cs="Arial"/>
          <w:sz w:val="18"/>
          <w:szCs w:val="18"/>
        </w:rPr>
        <w:t xml:space="preserve"> el </w:t>
      </w:r>
      <w:r w:rsidR="00355E3E">
        <w:rPr>
          <w:rFonts w:ascii="Arial" w:hAnsi="Arial" w:cs="Arial"/>
          <w:sz w:val="18"/>
          <w:szCs w:val="18"/>
        </w:rPr>
        <w:t>13</w:t>
      </w:r>
      <w:r>
        <w:rPr>
          <w:rFonts w:ascii="Arial" w:hAnsi="Arial" w:cs="Arial"/>
          <w:sz w:val="18"/>
          <w:szCs w:val="18"/>
        </w:rPr>
        <w:t>% a otros organismos del sector público</w:t>
      </w:r>
      <w:r w:rsidR="00155DFE">
        <w:rPr>
          <w:rFonts w:ascii="Arial" w:hAnsi="Arial" w:cs="Arial"/>
          <w:sz w:val="18"/>
          <w:szCs w:val="18"/>
        </w:rPr>
        <w:t xml:space="preserve"> y el restante </w:t>
      </w:r>
      <w:r w:rsidR="00355E3E">
        <w:rPr>
          <w:rFonts w:ascii="Arial" w:hAnsi="Arial" w:cs="Arial"/>
          <w:sz w:val="18"/>
          <w:szCs w:val="18"/>
        </w:rPr>
        <w:t>3</w:t>
      </w:r>
      <w:r w:rsidR="00155DFE">
        <w:rPr>
          <w:rFonts w:ascii="Arial" w:hAnsi="Arial" w:cs="Arial"/>
          <w:sz w:val="18"/>
          <w:szCs w:val="18"/>
        </w:rPr>
        <w:t>% a subsidios y subvenciones</w:t>
      </w:r>
      <w:r w:rsidR="00FF6FFD">
        <w:rPr>
          <w:rFonts w:ascii="Arial" w:hAnsi="Arial" w:cs="Arial"/>
          <w:sz w:val="18"/>
          <w:szCs w:val="18"/>
        </w:rPr>
        <w:t>.</w:t>
      </w:r>
      <w:r w:rsidR="00E660B4">
        <w:rPr>
          <w:rFonts w:ascii="Arial" w:hAnsi="Arial" w:cs="Arial"/>
          <w:sz w:val="18"/>
          <w:szCs w:val="18"/>
        </w:rPr>
        <w:t xml:space="preserve"> Lo que en general representa un decremento del 18% respecto al mismo periodo del ejercicio 2023.</w:t>
      </w:r>
    </w:p>
    <w:p w14:paraId="1A282576" w14:textId="39632095" w:rsidR="00CB45AD" w:rsidRDefault="00CB45AD" w:rsidP="00CB45AD">
      <w:pPr>
        <w:tabs>
          <w:tab w:val="left" w:pos="284"/>
        </w:tabs>
        <w:spacing w:after="0"/>
        <w:ind w:left="284"/>
        <w:jc w:val="both"/>
        <w:rPr>
          <w:rFonts w:ascii="Arial" w:hAnsi="Arial" w:cs="Arial"/>
          <w:sz w:val="18"/>
          <w:szCs w:val="18"/>
        </w:rPr>
      </w:pPr>
    </w:p>
    <w:p w14:paraId="1131E674" w14:textId="77777777" w:rsidR="00543F97" w:rsidRDefault="00543F97" w:rsidP="00CB45AD">
      <w:pPr>
        <w:tabs>
          <w:tab w:val="left" w:pos="284"/>
        </w:tabs>
        <w:spacing w:after="0"/>
        <w:ind w:left="284"/>
        <w:jc w:val="both"/>
        <w:rPr>
          <w:rFonts w:ascii="Arial" w:hAnsi="Arial" w:cs="Arial"/>
          <w:sz w:val="18"/>
          <w:szCs w:val="18"/>
        </w:rPr>
      </w:pPr>
    </w:p>
    <w:p w14:paraId="4262A7AA" w14:textId="77777777"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14:paraId="5DC6EF16" w14:textId="3294A565"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355E3E">
        <w:rPr>
          <w:rFonts w:ascii="Arial" w:hAnsi="Arial" w:cs="Arial"/>
          <w:sz w:val="18"/>
          <w:szCs w:val="18"/>
        </w:rPr>
        <w:t>marzo</w:t>
      </w:r>
      <w:r>
        <w:rPr>
          <w:rFonts w:ascii="Arial" w:hAnsi="Arial" w:cs="Arial"/>
          <w:sz w:val="18"/>
          <w:szCs w:val="18"/>
        </w:rPr>
        <w:t xml:space="preserve"> de 20</w:t>
      </w:r>
      <w:r w:rsidR="005F4F77">
        <w:rPr>
          <w:rFonts w:ascii="Arial" w:hAnsi="Arial" w:cs="Arial"/>
          <w:sz w:val="18"/>
          <w:szCs w:val="18"/>
        </w:rPr>
        <w:t>2</w:t>
      </w:r>
      <w:r w:rsidR="00355E3E">
        <w:rPr>
          <w:rFonts w:ascii="Arial" w:hAnsi="Arial" w:cs="Arial"/>
          <w:sz w:val="18"/>
          <w:szCs w:val="18"/>
        </w:rPr>
        <w:t>4</w:t>
      </w:r>
      <w:r>
        <w:rPr>
          <w:rFonts w:ascii="Arial" w:hAnsi="Arial" w:cs="Arial"/>
          <w:sz w:val="18"/>
          <w:szCs w:val="18"/>
        </w:rPr>
        <w:t xml:space="preserve"> es de $</w:t>
      </w:r>
      <w:r w:rsidR="00355E3E">
        <w:rPr>
          <w:rFonts w:ascii="Arial" w:hAnsi="Arial" w:cs="Arial"/>
          <w:sz w:val="18"/>
          <w:szCs w:val="18"/>
        </w:rPr>
        <w:t>1</w:t>
      </w:r>
      <w:r w:rsidR="00303EA9">
        <w:rPr>
          <w:rFonts w:ascii="Arial" w:hAnsi="Arial" w:cs="Arial"/>
          <w:sz w:val="18"/>
          <w:szCs w:val="18"/>
        </w:rPr>
        <w:t>,</w:t>
      </w:r>
      <w:r w:rsidR="00155DFE">
        <w:rPr>
          <w:rFonts w:ascii="Arial" w:hAnsi="Arial" w:cs="Arial"/>
          <w:sz w:val="18"/>
          <w:szCs w:val="18"/>
        </w:rPr>
        <w:t>5</w:t>
      </w:r>
      <w:r w:rsidR="00355E3E">
        <w:rPr>
          <w:rFonts w:ascii="Arial" w:hAnsi="Arial" w:cs="Arial"/>
          <w:sz w:val="18"/>
          <w:szCs w:val="18"/>
        </w:rPr>
        <w:t>98</w:t>
      </w:r>
      <w:r>
        <w:rPr>
          <w:rFonts w:ascii="Arial" w:hAnsi="Arial" w:cs="Arial"/>
          <w:sz w:val="18"/>
          <w:szCs w:val="18"/>
        </w:rPr>
        <w:t>,</w:t>
      </w:r>
      <w:r w:rsidR="00355E3E">
        <w:rPr>
          <w:rFonts w:ascii="Arial" w:hAnsi="Arial" w:cs="Arial"/>
          <w:sz w:val="18"/>
          <w:szCs w:val="18"/>
        </w:rPr>
        <w:t>180</w:t>
      </w:r>
      <w:r>
        <w:rPr>
          <w:rFonts w:ascii="Arial" w:hAnsi="Arial" w:cs="Arial"/>
          <w:sz w:val="18"/>
          <w:szCs w:val="18"/>
        </w:rPr>
        <w:t>,</w:t>
      </w:r>
      <w:r w:rsidR="00355E3E">
        <w:rPr>
          <w:rFonts w:ascii="Arial" w:hAnsi="Arial" w:cs="Arial"/>
          <w:sz w:val="18"/>
          <w:szCs w:val="18"/>
        </w:rPr>
        <w:t>856</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w:t>
      </w:r>
      <w:r w:rsidR="008B407A">
        <w:rPr>
          <w:rFonts w:ascii="Arial" w:hAnsi="Arial" w:cs="Arial"/>
          <w:sz w:val="18"/>
          <w:szCs w:val="18"/>
        </w:rPr>
        <w:t xml:space="preserve"> el</w:t>
      </w:r>
      <w:r>
        <w:rPr>
          <w:rFonts w:ascii="Arial" w:hAnsi="Arial" w:cs="Arial"/>
          <w:sz w:val="18"/>
          <w:szCs w:val="18"/>
        </w:rPr>
        <w:t xml:space="preserve"> Programa Estatal de Infraestructura y lo correspondiente a</w:t>
      </w:r>
      <w:r w:rsidRPr="00DE62C8">
        <w:rPr>
          <w:rFonts w:ascii="Arial" w:hAnsi="Arial" w:cs="Arial"/>
          <w:sz w:val="18"/>
          <w:szCs w:val="18"/>
        </w:rPr>
        <w:t xml:space="preserve">l </w:t>
      </w:r>
      <w:r w:rsidR="00355E3E">
        <w:rPr>
          <w:rFonts w:ascii="Arial" w:hAnsi="Arial" w:cs="Arial"/>
          <w:sz w:val="18"/>
          <w:szCs w:val="18"/>
        </w:rPr>
        <w:t>primer</w:t>
      </w:r>
      <w:r>
        <w:rPr>
          <w:rFonts w:ascii="Arial" w:hAnsi="Arial" w:cs="Arial"/>
          <w:sz w:val="18"/>
          <w:szCs w:val="18"/>
        </w:rPr>
        <w:t xml:space="preserve"> ajuste trimestral. Los cuales al </w:t>
      </w:r>
      <w:r w:rsidRPr="00DE62C8">
        <w:rPr>
          <w:rFonts w:ascii="Arial" w:hAnsi="Arial" w:cs="Arial"/>
          <w:sz w:val="18"/>
          <w:szCs w:val="18"/>
        </w:rPr>
        <w:t>3</w:t>
      </w:r>
      <w:r w:rsidR="00155DFE">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 xml:space="preserve">de </w:t>
      </w:r>
      <w:r w:rsidR="00355E3E">
        <w:rPr>
          <w:rFonts w:ascii="Arial" w:hAnsi="Arial" w:cs="Arial"/>
          <w:sz w:val="18"/>
          <w:szCs w:val="18"/>
        </w:rPr>
        <w:t>marzo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sidR="007615D9">
        <w:rPr>
          <w:rFonts w:ascii="Arial" w:hAnsi="Arial" w:cs="Arial"/>
          <w:sz w:val="18"/>
          <w:szCs w:val="18"/>
        </w:rPr>
        <w:t xml:space="preserve"> Observándose una variación </w:t>
      </w:r>
      <w:r w:rsidR="00E660B4">
        <w:rPr>
          <w:rFonts w:ascii="Arial" w:hAnsi="Arial" w:cs="Arial"/>
          <w:sz w:val="18"/>
          <w:szCs w:val="18"/>
        </w:rPr>
        <w:t>posit</w:t>
      </w:r>
      <w:r w:rsidR="00355E3E">
        <w:rPr>
          <w:rFonts w:ascii="Arial" w:hAnsi="Arial" w:cs="Arial"/>
          <w:sz w:val="18"/>
          <w:szCs w:val="18"/>
        </w:rPr>
        <w:t>i</w:t>
      </w:r>
      <w:r w:rsidR="008F164F">
        <w:rPr>
          <w:rFonts w:ascii="Arial" w:hAnsi="Arial" w:cs="Arial"/>
          <w:sz w:val="18"/>
          <w:szCs w:val="18"/>
        </w:rPr>
        <w:t>va</w:t>
      </w:r>
      <w:r w:rsidR="007615D9">
        <w:rPr>
          <w:rFonts w:ascii="Arial" w:hAnsi="Arial" w:cs="Arial"/>
          <w:sz w:val="18"/>
          <w:szCs w:val="18"/>
        </w:rPr>
        <w:t xml:space="preserve"> </w:t>
      </w:r>
      <w:r w:rsidR="00663540">
        <w:rPr>
          <w:rFonts w:ascii="Arial" w:hAnsi="Arial" w:cs="Arial"/>
          <w:sz w:val="18"/>
          <w:szCs w:val="18"/>
        </w:rPr>
        <w:t>r</w:t>
      </w:r>
      <w:r w:rsidR="007615D9">
        <w:rPr>
          <w:rFonts w:ascii="Arial" w:hAnsi="Arial" w:cs="Arial"/>
          <w:sz w:val="18"/>
          <w:szCs w:val="18"/>
        </w:rPr>
        <w:t>especto a</w:t>
      </w:r>
      <w:r w:rsidR="00663540">
        <w:rPr>
          <w:rFonts w:ascii="Arial" w:hAnsi="Arial" w:cs="Arial"/>
          <w:sz w:val="18"/>
          <w:szCs w:val="18"/>
        </w:rPr>
        <w:t>l</w:t>
      </w:r>
      <w:r w:rsidR="007615D9">
        <w:rPr>
          <w:rFonts w:ascii="Arial" w:hAnsi="Arial" w:cs="Arial"/>
          <w:sz w:val="18"/>
          <w:szCs w:val="18"/>
        </w:rPr>
        <w:t xml:space="preserve"> </w:t>
      </w:r>
      <w:r w:rsidR="00A70B74">
        <w:rPr>
          <w:rFonts w:ascii="Arial" w:hAnsi="Arial" w:cs="Arial"/>
          <w:sz w:val="18"/>
          <w:szCs w:val="18"/>
        </w:rPr>
        <w:t xml:space="preserve">ejercicio </w:t>
      </w:r>
      <w:r w:rsidR="007615D9">
        <w:rPr>
          <w:rFonts w:ascii="Arial" w:hAnsi="Arial" w:cs="Arial"/>
          <w:sz w:val="18"/>
          <w:szCs w:val="18"/>
        </w:rPr>
        <w:t>202</w:t>
      </w:r>
      <w:r w:rsidR="00355E3E">
        <w:rPr>
          <w:rFonts w:ascii="Arial" w:hAnsi="Arial" w:cs="Arial"/>
          <w:sz w:val="18"/>
          <w:szCs w:val="18"/>
        </w:rPr>
        <w:t>3</w:t>
      </w:r>
      <w:r w:rsidR="00E660B4">
        <w:rPr>
          <w:rFonts w:ascii="Arial" w:hAnsi="Arial" w:cs="Arial"/>
          <w:sz w:val="18"/>
          <w:szCs w:val="18"/>
        </w:rPr>
        <w:t xml:space="preserve"> del 25% en el mismo periodo</w:t>
      </w:r>
      <w:r w:rsidR="002C060D">
        <w:rPr>
          <w:rFonts w:ascii="Arial" w:hAnsi="Arial" w:cs="Arial"/>
          <w:sz w:val="18"/>
          <w:szCs w:val="18"/>
        </w:rPr>
        <w:t>.</w:t>
      </w:r>
    </w:p>
    <w:p w14:paraId="33CF0007" w14:textId="77777777" w:rsidR="009B20EA" w:rsidRDefault="009B20EA" w:rsidP="009B20EA">
      <w:pPr>
        <w:tabs>
          <w:tab w:val="left" w:pos="284"/>
        </w:tabs>
        <w:spacing w:after="0"/>
        <w:ind w:left="284"/>
        <w:jc w:val="both"/>
        <w:rPr>
          <w:rFonts w:ascii="Arial" w:hAnsi="Arial" w:cs="Arial"/>
          <w:sz w:val="18"/>
          <w:szCs w:val="18"/>
        </w:rPr>
      </w:pPr>
    </w:p>
    <w:p w14:paraId="6D206C8F" w14:textId="00E66A5A" w:rsidR="00637C9C" w:rsidRPr="0073056A" w:rsidRDefault="00637C9C" w:rsidP="00637C9C">
      <w:pPr>
        <w:pStyle w:val="INCISO"/>
        <w:spacing w:after="0" w:line="276" w:lineRule="auto"/>
        <w:ind w:left="0" w:firstLine="284"/>
        <w:rPr>
          <w:b/>
          <w:smallCaps/>
        </w:rPr>
      </w:pPr>
      <w:r>
        <w:rPr>
          <w:b/>
          <w:smallCaps/>
        </w:rPr>
        <w:t xml:space="preserve">II.   </w:t>
      </w:r>
      <w:r w:rsidRPr="0073056A">
        <w:rPr>
          <w:b/>
          <w:smallCaps/>
        </w:rPr>
        <w:t>Notas al Estado de Situación Financiera</w:t>
      </w:r>
    </w:p>
    <w:p w14:paraId="0FF19746" w14:textId="77777777" w:rsidR="00637C9C" w:rsidRPr="0073056A" w:rsidRDefault="00637C9C" w:rsidP="00637C9C">
      <w:pPr>
        <w:pStyle w:val="Texto"/>
        <w:spacing w:after="0" w:line="276" w:lineRule="auto"/>
        <w:rPr>
          <w:b/>
          <w:szCs w:val="18"/>
          <w:lang w:val="es-MX"/>
        </w:rPr>
      </w:pPr>
    </w:p>
    <w:p w14:paraId="42450C81" w14:textId="77777777" w:rsidR="00637C9C" w:rsidRPr="0073056A" w:rsidRDefault="00637C9C" w:rsidP="00637C9C">
      <w:pPr>
        <w:pStyle w:val="Texto"/>
        <w:spacing w:after="0" w:line="276" w:lineRule="auto"/>
        <w:rPr>
          <w:b/>
          <w:szCs w:val="18"/>
          <w:lang w:val="es-MX"/>
        </w:rPr>
      </w:pPr>
      <w:r w:rsidRPr="0073056A">
        <w:rPr>
          <w:b/>
          <w:szCs w:val="18"/>
          <w:lang w:val="es-MX"/>
        </w:rPr>
        <w:t>Activo</w:t>
      </w:r>
    </w:p>
    <w:p w14:paraId="6DFD93EA" w14:textId="77777777" w:rsidR="00637C9C" w:rsidRPr="0073056A" w:rsidRDefault="00637C9C" w:rsidP="00637C9C">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14:paraId="34207D28" w14:textId="77777777" w:rsidR="00637C9C" w:rsidRPr="0073056A" w:rsidRDefault="00637C9C" w:rsidP="00637C9C">
      <w:pPr>
        <w:pStyle w:val="Texto"/>
        <w:spacing w:after="0" w:line="276" w:lineRule="auto"/>
        <w:ind w:firstLine="284"/>
        <w:rPr>
          <w:b/>
          <w:szCs w:val="18"/>
          <w:lang w:val="es-MX"/>
        </w:rPr>
      </w:pPr>
      <w:r w:rsidRPr="0073056A">
        <w:rPr>
          <w:b/>
          <w:szCs w:val="18"/>
          <w:lang w:val="es-MX"/>
        </w:rPr>
        <w:t>Efectivo y Equivalentes</w:t>
      </w:r>
    </w:p>
    <w:p w14:paraId="5D6E38D4" w14:textId="2F5BA9D6" w:rsidR="00637C9C" w:rsidRPr="0073056A" w:rsidRDefault="00637C9C" w:rsidP="00637C9C">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sidR="00355E3E">
        <w:rPr>
          <w:rFonts w:ascii="Arial" w:hAnsi="Arial" w:cs="Arial"/>
          <w:sz w:val="18"/>
          <w:szCs w:val="18"/>
        </w:rPr>
        <w:t>3</w:t>
      </w:r>
      <w:r>
        <w:rPr>
          <w:rFonts w:ascii="Arial" w:hAnsi="Arial" w:cs="Arial"/>
          <w:sz w:val="18"/>
          <w:szCs w:val="18"/>
        </w:rPr>
        <w:t>,8</w:t>
      </w:r>
      <w:r w:rsidR="00355E3E">
        <w:rPr>
          <w:rFonts w:ascii="Arial" w:hAnsi="Arial" w:cs="Arial"/>
          <w:sz w:val="18"/>
          <w:szCs w:val="18"/>
        </w:rPr>
        <w:t>16</w:t>
      </w:r>
      <w:r>
        <w:rPr>
          <w:rFonts w:ascii="Arial" w:hAnsi="Arial" w:cs="Arial"/>
          <w:sz w:val="18"/>
          <w:szCs w:val="18"/>
        </w:rPr>
        <w:t>,</w:t>
      </w:r>
      <w:r w:rsidR="00355E3E">
        <w:rPr>
          <w:rFonts w:ascii="Arial" w:hAnsi="Arial" w:cs="Arial"/>
          <w:sz w:val="18"/>
          <w:szCs w:val="18"/>
        </w:rPr>
        <w:t>865</w:t>
      </w:r>
      <w:r>
        <w:rPr>
          <w:rFonts w:ascii="Arial" w:hAnsi="Arial" w:cs="Arial"/>
          <w:sz w:val="18"/>
          <w:szCs w:val="18"/>
        </w:rPr>
        <w:t>,</w:t>
      </w:r>
      <w:r w:rsidR="00355E3E">
        <w:rPr>
          <w:rFonts w:ascii="Arial" w:hAnsi="Arial" w:cs="Arial"/>
          <w:sz w:val="18"/>
          <w:szCs w:val="18"/>
        </w:rPr>
        <w:t>03</w:t>
      </w:r>
      <w:r>
        <w:rPr>
          <w:rFonts w:ascii="Arial" w:hAnsi="Arial" w:cs="Arial"/>
          <w:sz w:val="18"/>
          <w:szCs w:val="18"/>
        </w:rPr>
        <w:t>2</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355E3E">
        <w:rPr>
          <w:rFonts w:ascii="Arial" w:hAnsi="Arial" w:cs="Arial"/>
          <w:sz w:val="18"/>
          <w:szCs w:val="18"/>
        </w:rPr>
        <w:t>primer</w:t>
      </w:r>
      <w:r>
        <w:rPr>
          <w:rFonts w:ascii="Arial" w:hAnsi="Arial" w:cs="Arial"/>
          <w:sz w:val="18"/>
          <w:szCs w:val="18"/>
        </w:rPr>
        <w:t xml:space="preserve"> Ajuste Trimestral 202</w:t>
      </w:r>
      <w:r w:rsidR="00355E3E">
        <w:rPr>
          <w:rFonts w:ascii="Arial" w:hAnsi="Arial" w:cs="Arial"/>
          <w:sz w:val="18"/>
          <w:szCs w:val="18"/>
        </w:rPr>
        <w:t>4</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 observando una diferencia de $</w:t>
      </w:r>
      <w:r w:rsidR="00121F18">
        <w:rPr>
          <w:rFonts w:ascii="Arial" w:hAnsi="Arial" w:cs="Arial"/>
          <w:sz w:val="18"/>
          <w:szCs w:val="18"/>
        </w:rPr>
        <w:t>1,311</w:t>
      </w:r>
      <w:r>
        <w:rPr>
          <w:rFonts w:ascii="Arial" w:hAnsi="Arial" w:cs="Arial"/>
          <w:sz w:val="18"/>
          <w:szCs w:val="18"/>
        </w:rPr>
        <w:t>,</w:t>
      </w:r>
      <w:r w:rsidR="00121F18">
        <w:rPr>
          <w:rFonts w:ascii="Arial" w:hAnsi="Arial" w:cs="Arial"/>
          <w:sz w:val="18"/>
          <w:szCs w:val="18"/>
        </w:rPr>
        <w:t>297</w:t>
      </w:r>
      <w:r>
        <w:rPr>
          <w:rFonts w:ascii="Arial" w:hAnsi="Arial" w:cs="Arial"/>
          <w:sz w:val="18"/>
          <w:szCs w:val="18"/>
        </w:rPr>
        <w:t>,</w:t>
      </w:r>
      <w:r w:rsidR="00121F18">
        <w:rPr>
          <w:rFonts w:ascii="Arial" w:hAnsi="Arial" w:cs="Arial"/>
          <w:sz w:val="18"/>
          <w:szCs w:val="18"/>
        </w:rPr>
        <w:t>977</w:t>
      </w:r>
      <w:r>
        <w:rPr>
          <w:rFonts w:ascii="Arial" w:hAnsi="Arial" w:cs="Arial"/>
          <w:sz w:val="18"/>
          <w:szCs w:val="18"/>
        </w:rPr>
        <w:t>, respecto al ejercicio de 202</w:t>
      </w:r>
      <w:r w:rsidR="00B143E2">
        <w:rPr>
          <w:rFonts w:ascii="Arial" w:hAnsi="Arial" w:cs="Arial"/>
          <w:sz w:val="18"/>
          <w:szCs w:val="18"/>
        </w:rPr>
        <w:t>3</w:t>
      </w:r>
      <w:r w:rsidR="00121F18">
        <w:rPr>
          <w:rFonts w:ascii="Arial" w:hAnsi="Arial" w:cs="Arial"/>
          <w:sz w:val="18"/>
          <w:szCs w:val="18"/>
        </w:rPr>
        <w:t xml:space="preserve"> en el mismo trimestre</w:t>
      </w:r>
      <w:r>
        <w:rPr>
          <w:rFonts w:ascii="Arial" w:hAnsi="Arial" w:cs="Arial"/>
          <w:sz w:val="18"/>
          <w:szCs w:val="18"/>
        </w:rPr>
        <w:t>.</w:t>
      </w:r>
    </w:p>
    <w:p w14:paraId="6886F9ED" w14:textId="77777777" w:rsidR="00637C9C" w:rsidRPr="0073056A" w:rsidRDefault="00637C9C" w:rsidP="00637C9C">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14:paraId="1D2EDBEE" w14:textId="77777777" w:rsidR="00637C9C" w:rsidRPr="0073056A" w:rsidRDefault="00637C9C" w:rsidP="00637C9C">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14:paraId="29B80358" w14:textId="61837725" w:rsidR="00637C9C" w:rsidRPr="0073056A" w:rsidRDefault="00637C9C" w:rsidP="00637C9C">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3</w:t>
      </w:r>
      <w:r w:rsidR="00B143E2">
        <w:rPr>
          <w:rFonts w:ascii="Arial" w:hAnsi="Arial" w:cs="Arial"/>
          <w:sz w:val="18"/>
          <w:szCs w:val="18"/>
        </w:rPr>
        <w:t>8</w:t>
      </w:r>
      <w:r>
        <w:rPr>
          <w:rFonts w:ascii="Arial" w:hAnsi="Arial" w:cs="Arial"/>
          <w:sz w:val="18"/>
          <w:szCs w:val="18"/>
        </w:rPr>
        <w:t>,</w:t>
      </w:r>
      <w:r w:rsidR="00B143E2">
        <w:rPr>
          <w:rFonts w:ascii="Arial" w:hAnsi="Arial" w:cs="Arial"/>
          <w:sz w:val="18"/>
          <w:szCs w:val="18"/>
        </w:rPr>
        <w:t>176</w:t>
      </w:r>
      <w:r>
        <w:rPr>
          <w:rFonts w:ascii="Arial" w:hAnsi="Arial" w:cs="Arial"/>
          <w:sz w:val="18"/>
          <w:szCs w:val="18"/>
        </w:rPr>
        <w:t>,</w:t>
      </w:r>
      <w:r w:rsidR="00B143E2">
        <w:rPr>
          <w:rFonts w:ascii="Arial" w:hAnsi="Arial" w:cs="Arial"/>
          <w:sz w:val="18"/>
          <w:szCs w:val="18"/>
        </w:rPr>
        <w:t>070</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B143E2">
        <w:rPr>
          <w:rFonts w:ascii="Arial" w:hAnsi="Arial" w:cs="Arial"/>
          <w:sz w:val="18"/>
          <w:szCs w:val="18"/>
        </w:rPr>
        <w:t>primer</w:t>
      </w:r>
      <w:r w:rsidRPr="00F52C6D">
        <w:rPr>
          <w:rFonts w:ascii="Arial" w:hAnsi="Arial" w:cs="Arial"/>
          <w:sz w:val="18"/>
          <w:szCs w:val="18"/>
        </w:rPr>
        <w:t xml:space="preserve"> trimestre</w:t>
      </w:r>
      <w:r>
        <w:rPr>
          <w:rFonts w:ascii="Arial" w:hAnsi="Arial" w:cs="Arial"/>
          <w:sz w:val="18"/>
          <w:szCs w:val="18"/>
        </w:rPr>
        <w:t xml:space="preserve"> del ejercicio 202</w:t>
      </w:r>
      <w:r w:rsidR="00B143E2">
        <w:rPr>
          <w:rFonts w:ascii="Arial" w:hAnsi="Arial" w:cs="Arial"/>
          <w:sz w:val="18"/>
          <w:szCs w:val="18"/>
        </w:rPr>
        <w:t>4</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 xml:space="preserve">gresos por cobrar a corto plazo, siendo </w:t>
      </w:r>
      <w:r w:rsidR="00B143E2">
        <w:rPr>
          <w:rFonts w:ascii="Arial" w:hAnsi="Arial" w:cs="Arial"/>
          <w:sz w:val="18"/>
          <w:szCs w:val="18"/>
        </w:rPr>
        <w:t>mayor</w:t>
      </w:r>
      <w:r>
        <w:rPr>
          <w:rFonts w:ascii="Arial" w:hAnsi="Arial" w:cs="Arial"/>
          <w:sz w:val="18"/>
          <w:szCs w:val="18"/>
        </w:rPr>
        <w:t xml:space="preserve"> en $</w:t>
      </w:r>
      <w:r w:rsidR="00121F18">
        <w:rPr>
          <w:rFonts w:ascii="Arial" w:hAnsi="Arial" w:cs="Arial"/>
          <w:sz w:val="18"/>
          <w:szCs w:val="18"/>
        </w:rPr>
        <w:t>5</w:t>
      </w:r>
      <w:r>
        <w:rPr>
          <w:rFonts w:ascii="Arial" w:hAnsi="Arial" w:cs="Arial"/>
          <w:sz w:val="18"/>
          <w:szCs w:val="18"/>
        </w:rPr>
        <w:t>,</w:t>
      </w:r>
      <w:r w:rsidR="00121F18">
        <w:rPr>
          <w:rFonts w:ascii="Arial" w:hAnsi="Arial" w:cs="Arial"/>
          <w:sz w:val="18"/>
          <w:szCs w:val="18"/>
        </w:rPr>
        <w:t>381</w:t>
      </w:r>
      <w:r>
        <w:rPr>
          <w:rFonts w:ascii="Arial" w:hAnsi="Arial" w:cs="Arial"/>
          <w:sz w:val="18"/>
          <w:szCs w:val="18"/>
        </w:rPr>
        <w:t>,</w:t>
      </w:r>
      <w:r w:rsidR="00121F18">
        <w:rPr>
          <w:rFonts w:ascii="Arial" w:hAnsi="Arial" w:cs="Arial"/>
          <w:sz w:val="18"/>
          <w:szCs w:val="18"/>
        </w:rPr>
        <w:t>884</w:t>
      </w:r>
      <w:r>
        <w:rPr>
          <w:rFonts w:ascii="Arial" w:hAnsi="Arial" w:cs="Arial"/>
          <w:sz w:val="18"/>
          <w:szCs w:val="18"/>
        </w:rPr>
        <w:t xml:space="preserve"> respecto al </w:t>
      </w:r>
      <w:r w:rsidR="00121F18">
        <w:rPr>
          <w:rFonts w:ascii="Arial" w:hAnsi="Arial" w:cs="Arial"/>
          <w:sz w:val="18"/>
          <w:szCs w:val="18"/>
        </w:rPr>
        <w:t xml:space="preserve">mismo periodo del </w:t>
      </w:r>
      <w:r>
        <w:rPr>
          <w:rFonts w:ascii="Arial" w:hAnsi="Arial" w:cs="Arial"/>
          <w:sz w:val="18"/>
          <w:szCs w:val="18"/>
        </w:rPr>
        <w:t>ejercicio 202</w:t>
      </w:r>
      <w:r w:rsidR="00B143E2">
        <w:rPr>
          <w:rFonts w:ascii="Arial" w:hAnsi="Arial" w:cs="Arial"/>
          <w:sz w:val="18"/>
          <w:szCs w:val="18"/>
        </w:rPr>
        <w:t>3</w:t>
      </w:r>
      <w:r>
        <w:rPr>
          <w:rFonts w:ascii="Arial" w:hAnsi="Arial" w:cs="Arial"/>
          <w:sz w:val="18"/>
          <w:szCs w:val="18"/>
        </w:rPr>
        <w:t>.</w:t>
      </w:r>
    </w:p>
    <w:p w14:paraId="1364FE32" w14:textId="2D28569A" w:rsidR="00637C9C" w:rsidRDefault="00637C9C" w:rsidP="00637C9C">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Pr>
          <w:rFonts w:ascii="Arial" w:hAnsi="Arial" w:cs="Arial"/>
          <w:sz w:val="18"/>
          <w:szCs w:val="18"/>
        </w:rPr>
        <w:t xml:space="preserve"> al cierre del </w:t>
      </w:r>
      <w:r w:rsidR="00B143E2">
        <w:rPr>
          <w:rFonts w:ascii="Arial" w:hAnsi="Arial" w:cs="Arial"/>
          <w:sz w:val="18"/>
          <w:szCs w:val="18"/>
        </w:rPr>
        <w:t>primer</w:t>
      </w:r>
      <w:r>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Pr>
          <w:rFonts w:ascii="Arial" w:hAnsi="Arial" w:cs="Arial"/>
          <w:sz w:val="18"/>
          <w:szCs w:val="18"/>
        </w:rPr>
        <w:t>, refleja un saldo de $0.00 por derechos a recibir bienes o servicios</w:t>
      </w:r>
      <w:r w:rsidRPr="0073056A">
        <w:rPr>
          <w:rFonts w:ascii="Arial" w:hAnsi="Arial" w:cs="Arial"/>
          <w:sz w:val="18"/>
          <w:szCs w:val="18"/>
        </w:rPr>
        <w:t>.</w:t>
      </w:r>
    </w:p>
    <w:p w14:paraId="2478729F" w14:textId="77777777" w:rsidR="00637C9C" w:rsidRDefault="00637C9C" w:rsidP="00637C9C">
      <w:pPr>
        <w:pStyle w:val="ROMANOS"/>
        <w:tabs>
          <w:tab w:val="clear" w:pos="720"/>
          <w:tab w:val="left" w:pos="284"/>
        </w:tabs>
        <w:spacing w:after="0" w:line="276" w:lineRule="auto"/>
        <w:ind w:left="284" w:firstLine="0"/>
        <w:rPr>
          <w:b/>
          <w:lang w:val="es-MX"/>
        </w:rPr>
      </w:pPr>
    </w:p>
    <w:p w14:paraId="3BD208EA"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14:paraId="03ACD9F8" w14:textId="679209C0" w:rsidR="00637C9C" w:rsidRPr="0073056A" w:rsidRDefault="00637C9C" w:rsidP="00637C9C">
      <w:pPr>
        <w:ind w:left="284"/>
        <w:jc w:val="both"/>
        <w:rPr>
          <w:rFonts w:ascii="Arial" w:hAnsi="Arial" w:cs="Arial"/>
          <w:sz w:val="18"/>
          <w:szCs w:val="18"/>
        </w:rPr>
      </w:pPr>
      <w:r>
        <w:rPr>
          <w:rFonts w:ascii="Arial" w:hAnsi="Arial" w:cs="Arial"/>
          <w:sz w:val="18"/>
          <w:szCs w:val="18"/>
        </w:rPr>
        <w:t xml:space="preserve">Al cierre del </w:t>
      </w:r>
      <w:r w:rsidR="00B143E2">
        <w:rPr>
          <w:rFonts w:ascii="Arial" w:hAnsi="Arial" w:cs="Arial"/>
          <w:sz w:val="18"/>
          <w:szCs w:val="18"/>
        </w:rPr>
        <w:t>primer</w:t>
      </w:r>
      <w:r>
        <w:rPr>
          <w:rFonts w:ascii="Arial" w:hAnsi="Arial" w:cs="Arial"/>
          <w:sz w:val="18"/>
          <w:szCs w:val="18"/>
        </w:rPr>
        <w:t xml:space="preserve"> trimestre del ejercicio 202</w:t>
      </w:r>
      <w:r w:rsidR="00B143E2">
        <w:rPr>
          <w:rFonts w:ascii="Arial" w:hAnsi="Arial" w:cs="Arial"/>
          <w:sz w:val="18"/>
          <w:szCs w:val="18"/>
        </w:rPr>
        <w:t>4</w:t>
      </w:r>
      <w:r>
        <w:rPr>
          <w:rFonts w:ascii="Arial" w:hAnsi="Arial" w:cs="Arial"/>
          <w:sz w:val="18"/>
          <w:szCs w:val="18"/>
        </w:rPr>
        <w:t xml:space="preserve"> el Poder Ejecutivo no cuenta con Bienes Disponibles para su Transformación o Consumo (inventarios).</w:t>
      </w:r>
    </w:p>
    <w:p w14:paraId="1932B438" w14:textId="77777777" w:rsidR="00637C9C" w:rsidRPr="0073056A" w:rsidRDefault="00637C9C" w:rsidP="00637C9C">
      <w:pPr>
        <w:pStyle w:val="ROMANOS"/>
        <w:tabs>
          <w:tab w:val="clear" w:pos="720"/>
          <w:tab w:val="left" w:pos="851"/>
        </w:tabs>
        <w:spacing w:after="0" w:line="276" w:lineRule="auto"/>
        <w:ind w:left="284" w:firstLine="0"/>
        <w:rPr>
          <w:b/>
          <w:lang w:val="es-MX"/>
        </w:rPr>
      </w:pPr>
      <w:r w:rsidRPr="0073056A">
        <w:rPr>
          <w:b/>
          <w:lang w:val="es-MX"/>
        </w:rPr>
        <w:t>Inversiones Financieras</w:t>
      </w:r>
    </w:p>
    <w:p w14:paraId="493899DE" w14:textId="56A1EB6C" w:rsidR="00637C9C" w:rsidRPr="0073056A" w:rsidRDefault="00637C9C" w:rsidP="00637C9C">
      <w:pPr>
        <w:ind w:left="284"/>
        <w:jc w:val="both"/>
        <w:rPr>
          <w:rFonts w:ascii="Arial" w:hAnsi="Arial" w:cs="Arial"/>
          <w:sz w:val="18"/>
          <w:szCs w:val="18"/>
        </w:rPr>
      </w:pPr>
      <w:r>
        <w:rPr>
          <w:rFonts w:ascii="Arial" w:hAnsi="Arial" w:cs="Arial"/>
          <w:sz w:val="18"/>
          <w:szCs w:val="18"/>
        </w:rPr>
        <w:t xml:space="preserve">Al cierre del </w:t>
      </w:r>
      <w:r w:rsidR="00B143E2">
        <w:rPr>
          <w:rFonts w:ascii="Arial" w:hAnsi="Arial" w:cs="Arial"/>
          <w:sz w:val="18"/>
          <w:szCs w:val="18"/>
        </w:rPr>
        <w:t>primer</w:t>
      </w:r>
      <w:r>
        <w:rPr>
          <w:rFonts w:ascii="Arial" w:hAnsi="Arial" w:cs="Arial"/>
          <w:sz w:val="18"/>
          <w:szCs w:val="18"/>
        </w:rPr>
        <w:t xml:space="preserve"> trimestre del ejercicio 202</w:t>
      </w:r>
      <w:r w:rsidR="00B143E2">
        <w:rPr>
          <w:rFonts w:ascii="Arial" w:hAnsi="Arial" w:cs="Arial"/>
          <w:sz w:val="18"/>
          <w:szCs w:val="18"/>
        </w:rPr>
        <w:t>4</w:t>
      </w:r>
      <w:r>
        <w:rPr>
          <w:rFonts w:ascii="Arial" w:hAnsi="Arial" w:cs="Arial"/>
          <w:sz w:val="18"/>
          <w:szCs w:val="18"/>
        </w:rPr>
        <w:t xml:space="preserve"> el Poder Ejecutivo cuenta con Inversiones Financieras a Largo Plazo por un importe de $344,727,863, que respaldan los diversos fondos de reserva del Ejecutivo del Estado.</w:t>
      </w:r>
    </w:p>
    <w:p w14:paraId="1B73A51B"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14:paraId="3E91ACEA" w14:textId="6517998E" w:rsidR="00637C9C" w:rsidRPr="0073056A" w:rsidRDefault="00637C9C" w:rsidP="00637C9C">
      <w:pPr>
        <w:tabs>
          <w:tab w:val="left" w:pos="284"/>
        </w:tabs>
        <w:ind w:left="284"/>
        <w:jc w:val="both"/>
        <w:rPr>
          <w:rFonts w:ascii="Arial" w:hAnsi="Arial" w:cs="Arial"/>
          <w:sz w:val="18"/>
          <w:szCs w:val="18"/>
        </w:rPr>
      </w:pPr>
      <w:r>
        <w:rPr>
          <w:rFonts w:ascii="Arial" w:hAnsi="Arial" w:cs="Arial"/>
          <w:sz w:val="18"/>
          <w:szCs w:val="18"/>
        </w:rPr>
        <w:t xml:space="preserve">Al cierre del </w:t>
      </w:r>
      <w:r w:rsidR="00B143E2">
        <w:rPr>
          <w:rFonts w:ascii="Arial" w:hAnsi="Arial" w:cs="Arial"/>
          <w:sz w:val="18"/>
          <w:szCs w:val="18"/>
        </w:rPr>
        <w:t>primer</w:t>
      </w:r>
      <w:r>
        <w:rPr>
          <w:rFonts w:ascii="Arial" w:hAnsi="Arial" w:cs="Arial"/>
          <w:sz w:val="18"/>
          <w:szCs w:val="18"/>
        </w:rPr>
        <w:t xml:space="preserve"> trimestre del ejercicio 202</w:t>
      </w:r>
      <w:r w:rsidR="00B143E2">
        <w:rPr>
          <w:rFonts w:ascii="Arial" w:hAnsi="Arial" w:cs="Arial"/>
          <w:sz w:val="18"/>
          <w:szCs w:val="18"/>
        </w:rPr>
        <w:t>4</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2,710,</w:t>
      </w:r>
      <w:r w:rsidR="00B143E2">
        <w:rPr>
          <w:rFonts w:ascii="Arial" w:hAnsi="Arial" w:cs="Arial"/>
          <w:sz w:val="18"/>
          <w:szCs w:val="18"/>
        </w:rPr>
        <w:t>994</w:t>
      </w:r>
      <w:r>
        <w:rPr>
          <w:rFonts w:ascii="Arial" w:hAnsi="Arial" w:cs="Arial"/>
          <w:sz w:val="18"/>
          <w:szCs w:val="18"/>
        </w:rPr>
        <w:t>,</w:t>
      </w:r>
      <w:r w:rsidR="00B143E2">
        <w:rPr>
          <w:rFonts w:ascii="Arial" w:hAnsi="Arial" w:cs="Arial"/>
          <w:sz w:val="18"/>
          <w:szCs w:val="18"/>
        </w:rPr>
        <w:t>559</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xml:space="preserve">, así como colecciones, obras de arte y objetos valiosos, presentando un incremento del </w:t>
      </w:r>
      <w:r w:rsidR="00A50357">
        <w:rPr>
          <w:rFonts w:ascii="Arial" w:hAnsi="Arial" w:cs="Arial"/>
          <w:sz w:val="18"/>
          <w:szCs w:val="18"/>
        </w:rPr>
        <w:t>20</w:t>
      </w:r>
      <w:r>
        <w:rPr>
          <w:rFonts w:ascii="Arial" w:hAnsi="Arial" w:cs="Arial"/>
          <w:sz w:val="18"/>
          <w:szCs w:val="18"/>
        </w:rPr>
        <w:t xml:space="preserve">% respecto del </w:t>
      </w:r>
      <w:r w:rsidR="00A50357">
        <w:rPr>
          <w:rFonts w:ascii="Arial" w:hAnsi="Arial" w:cs="Arial"/>
          <w:sz w:val="18"/>
          <w:szCs w:val="18"/>
        </w:rPr>
        <w:t xml:space="preserve">mismo trimestre del </w:t>
      </w:r>
      <w:r>
        <w:rPr>
          <w:rFonts w:ascii="Arial" w:hAnsi="Arial" w:cs="Arial"/>
          <w:sz w:val="18"/>
          <w:szCs w:val="18"/>
        </w:rPr>
        <w:t>ejercicio 202</w:t>
      </w:r>
      <w:r w:rsidR="00B143E2">
        <w:rPr>
          <w:rFonts w:ascii="Arial" w:hAnsi="Arial" w:cs="Arial"/>
          <w:sz w:val="18"/>
          <w:szCs w:val="18"/>
        </w:rPr>
        <w:t>3</w:t>
      </w:r>
      <w:r w:rsidRPr="0073056A">
        <w:rPr>
          <w:rFonts w:ascii="Arial" w:hAnsi="Arial" w:cs="Arial"/>
          <w:sz w:val="18"/>
          <w:szCs w:val="18"/>
        </w:rPr>
        <w:t>.</w:t>
      </w:r>
    </w:p>
    <w:p w14:paraId="75A35802" w14:textId="294221CB" w:rsidR="00637C9C" w:rsidRDefault="00637C9C" w:rsidP="00637C9C">
      <w:pPr>
        <w:tabs>
          <w:tab w:val="left" w:pos="284"/>
        </w:tabs>
        <w:ind w:left="284"/>
        <w:jc w:val="both"/>
        <w:rPr>
          <w:rFonts w:ascii="Arial" w:hAnsi="Arial" w:cs="Arial"/>
          <w:sz w:val="18"/>
          <w:szCs w:val="18"/>
        </w:rPr>
      </w:pPr>
      <w:r w:rsidRPr="00F619D6">
        <w:rPr>
          <w:rFonts w:ascii="Arial" w:hAnsi="Arial" w:cs="Arial"/>
          <w:sz w:val="18"/>
          <w:szCs w:val="18"/>
        </w:rPr>
        <w:lastRenderedPageBreak/>
        <w:t>El saldo reflejado en la cuenta de bienes inmuebles es de $</w:t>
      </w:r>
      <w:r w:rsidR="00B143E2">
        <w:rPr>
          <w:rFonts w:ascii="Arial" w:hAnsi="Arial" w:cs="Arial"/>
          <w:sz w:val="18"/>
          <w:szCs w:val="18"/>
        </w:rPr>
        <w:t>9</w:t>
      </w:r>
      <w:r w:rsidRPr="00F619D6">
        <w:rPr>
          <w:rFonts w:ascii="Arial" w:hAnsi="Arial" w:cs="Arial"/>
          <w:sz w:val="18"/>
          <w:szCs w:val="18"/>
        </w:rPr>
        <w:t>,</w:t>
      </w:r>
      <w:r w:rsidR="00B143E2">
        <w:rPr>
          <w:rFonts w:ascii="Arial" w:hAnsi="Arial" w:cs="Arial"/>
          <w:sz w:val="18"/>
          <w:szCs w:val="18"/>
        </w:rPr>
        <w:t>726</w:t>
      </w:r>
      <w:r w:rsidRPr="00F619D6">
        <w:rPr>
          <w:rFonts w:ascii="Arial" w:hAnsi="Arial" w:cs="Arial"/>
          <w:sz w:val="18"/>
          <w:szCs w:val="18"/>
        </w:rPr>
        <w:t>,</w:t>
      </w:r>
      <w:r w:rsidR="00B143E2">
        <w:rPr>
          <w:rFonts w:ascii="Arial" w:hAnsi="Arial" w:cs="Arial"/>
          <w:sz w:val="18"/>
          <w:szCs w:val="18"/>
        </w:rPr>
        <w:t>687</w:t>
      </w:r>
      <w:r w:rsidRPr="00F619D6">
        <w:rPr>
          <w:rFonts w:ascii="Arial" w:hAnsi="Arial" w:cs="Arial"/>
          <w:sz w:val="18"/>
          <w:szCs w:val="18"/>
        </w:rPr>
        <w:t>,</w:t>
      </w:r>
      <w:r>
        <w:rPr>
          <w:rFonts w:ascii="Arial" w:hAnsi="Arial" w:cs="Arial"/>
          <w:sz w:val="18"/>
          <w:szCs w:val="18"/>
        </w:rPr>
        <w:t>21</w:t>
      </w:r>
      <w:r w:rsidR="00B143E2">
        <w:rPr>
          <w:rFonts w:ascii="Arial" w:hAnsi="Arial" w:cs="Arial"/>
          <w:sz w:val="18"/>
          <w:szCs w:val="18"/>
        </w:rPr>
        <w:t>3</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 xml:space="preserve">, reflejando un </w:t>
      </w:r>
      <w:r w:rsidR="00A50357">
        <w:rPr>
          <w:rFonts w:ascii="Arial" w:hAnsi="Arial" w:cs="Arial"/>
          <w:sz w:val="18"/>
          <w:szCs w:val="18"/>
        </w:rPr>
        <w:t>in</w:t>
      </w:r>
      <w:r>
        <w:rPr>
          <w:rFonts w:ascii="Arial" w:hAnsi="Arial" w:cs="Arial"/>
          <w:sz w:val="18"/>
          <w:szCs w:val="18"/>
        </w:rPr>
        <w:t xml:space="preserve">cremento </w:t>
      </w:r>
      <w:r w:rsidR="00A50357">
        <w:rPr>
          <w:rFonts w:ascii="Arial" w:hAnsi="Arial" w:cs="Arial"/>
          <w:sz w:val="18"/>
          <w:szCs w:val="18"/>
        </w:rPr>
        <w:t>de</w:t>
      </w:r>
      <w:r>
        <w:rPr>
          <w:rFonts w:ascii="Arial" w:hAnsi="Arial" w:cs="Arial"/>
          <w:sz w:val="18"/>
          <w:szCs w:val="18"/>
        </w:rPr>
        <w:t xml:space="preserve">l </w:t>
      </w:r>
      <w:r w:rsidR="00A50357">
        <w:rPr>
          <w:rFonts w:ascii="Arial" w:hAnsi="Arial" w:cs="Arial"/>
          <w:sz w:val="18"/>
          <w:szCs w:val="18"/>
        </w:rPr>
        <w:t>20</w:t>
      </w:r>
      <w:r>
        <w:rPr>
          <w:rFonts w:ascii="Arial" w:hAnsi="Arial" w:cs="Arial"/>
          <w:sz w:val="18"/>
          <w:szCs w:val="18"/>
        </w:rPr>
        <w:t xml:space="preserve">% respecto al </w:t>
      </w:r>
      <w:r w:rsidR="00A50357">
        <w:rPr>
          <w:rFonts w:ascii="Arial" w:hAnsi="Arial" w:cs="Arial"/>
          <w:sz w:val="18"/>
          <w:szCs w:val="18"/>
        </w:rPr>
        <w:t xml:space="preserve">mismo periodo del </w:t>
      </w:r>
      <w:r>
        <w:rPr>
          <w:rFonts w:ascii="Arial" w:hAnsi="Arial" w:cs="Arial"/>
          <w:sz w:val="18"/>
          <w:szCs w:val="18"/>
        </w:rPr>
        <w:t>ejercicio 202</w:t>
      </w:r>
      <w:r w:rsidR="00B143E2">
        <w:rPr>
          <w:rFonts w:ascii="Arial" w:hAnsi="Arial" w:cs="Arial"/>
          <w:sz w:val="18"/>
          <w:szCs w:val="18"/>
        </w:rPr>
        <w:t>3</w:t>
      </w:r>
      <w:r>
        <w:rPr>
          <w:rFonts w:ascii="Arial" w:hAnsi="Arial" w:cs="Arial"/>
          <w:sz w:val="18"/>
          <w:szCs w:val="18"/>
        </w:rPr>
        <w:t>.</w:t>
      </w:r>
    </w:p>
    <w:p w14:paraId="16743E1D" w14:textId="5311044D" w:rsidR="00637C9C" w:rsidRPr="0073056A" w:rsidRDefault="00637C9C" w:rsidP="00637C9C">
      <w:pPr>
        <w:tabs>
          <w:tab w:val="left" w:pos="284"/>
        </w:tabs>
        <w:ind w:left="284"/>
        <w:jc w:val="both"/>
        <w:rPr>
          <w:rFonts w:ascii="Arial" w:hAnsi="Arial" w:cs="Arial"/>
          <w:sz w:val="18"/>
          <w:szCs w:val="18"/>
        </w:rPr>
      </w:pPr>
      <w:r>
        <w:rPr>
          <w:rFonts w:ascii="Arial" w:hAnsi="Arial" w:cs="Arial"/>
          <w:sz w:val="18"/>
          <w:szCs w:val="18"/>
        </w:rPr>
        <w:t>El saldo de $22</w:t>
      </w:r>
      <w:r w:rsidR="00B143E2">
        <w:rPr>
          <w:rFonts w:ascii="Arial" w:hAnsi="Arial" w:cs="Arial"/>
          <w:sz w:val="18"/>
          <w:szCs w:val="18"/>
        </w:rPr>
        <w:t>8</w:t>
      </w:r>
      <w:r>
        <w:rPr>
          <w:rFonts w:ascii="Arial" w:hAnsi="Arial" w:cs="Arial"/>
          <w:sz w:val="18"/>
          <w:szCs w:val="18"/>
        </w:rPr>
        <w:t>,7</w:t>
      </w:r>
      <w:r w:rsidR="00B143E2">
        <w:rPr>
          <w:rFonts w:ascii="Arial" w:hAnsi="Arial" w:cs="Arial"/>
          <w:sz w:val="18"/>
          <w:szCs w:val="18"/>
        </w:rPr>
        <w:t>61</w:t>
      </w:r>
      <w:r>
        <w:rPr>
          <w:rFonts w:ascii="Arial" w:hAnsi="Arial" w:cs="Arial"/>
          <w:sz w:val="18"/>
          <w:szCs w:val="18"/>
        </w:rPr>
        <w:t xml:space="preserve">,807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Pr>
          <w:rFonts w:ascii="Arial" w:hAnsi="Arial" w:cs="Arial"/>
          <w:sz w:val="18"/>
          <w:szCs w:val="18"/>
        </w:rPr>
        <w:t xml:space="preserve">, observándose una variación del </w:t>
      </w:r>
      <w:r w:rsidR="00A50357">
        <w:rPr>
          <w:rFonts w:ascii="Arial" w:hAnsi="Arial" w:cs="Arial"/>
          <w:sz w:val="18"/>
          <w:szCs w:val="18"/>
        </w:rPr>
        <w:t>20</w:t>
      </w:r>
      <w:r>
        <w:rPr>
          <w:rFonts w:ascii="Arial" w:hAnsi="Arial" w:cs="Arial"/>
          <w:sz w:val="18"/>
          <w:szCs w:val="18"/>
        </w:rPr>
        <w:t xml:space="preserve">% en relación al </w:t>
      </w:r>
      <w:r w:rsidR="00A50357">
        <w:rPr>
          <w:rFonts w:ascii="Arial" w:hAnsi="Arial" w:cs="Arial"/>
          <w:sz w:val="18"/>
          <w:szCs w:val="18"/>
        </w:rPr>
        <w:t xml:space="preserve">mismo trimestre del </w:t>
      </w:r>
      <w:r>
        <w:rPr>
          <w:rFonts w:ascii="Arial" w:hAnsi="Arial" w:cs="Arial"/>
          <w:sz w:val="18"/>
          <w:szCs w:val="18"/>
        </w:rPr>
        <w:t>ejercicio 202</w:t>
      </w:r>
      <w:r w:rsidR="00B143E2">
        <w:rPr>
          <w:rFonts w:ascii="Arial" w:hAnsi="Arial" w:cs="Arial"/>
          <w:sz w:val="18"/>
          <w:szCs w:val="18"/>
        </w:rPr>
        <w:t>3</w:t>
      </w:r>
      <w:r w:rsidRPr="00137E93">
        <w:rPr>
          <w:rFonts w:ascii="Arial" w:hAnsi="Arial" w:cs="Arial"/>
          <w:sz w:val="18"/>
          <w:szCs w:val="18"/>
        </w:rPr>
        <w:t>.</w:t>
      </w:r>
    </w:p>
    <w:p w14:paraId="1508C4DB" w14:textId="77777777" w:rsidR="00637C9C" w:rsidRDefault="00637C9C" w:rsidP="00637C9C">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14:paraId="0C74D570" w14:textId="77777777" w:rsidR="00637C9C" w:rsidRPr="00FB6E0E" w:rsidRDefault="00637C9C" w:rsidP="00637C9C">
      <w:pPr>
        <w:pStyle w:val="ROMANOS"/>
        <w:tabs>
          <w:tab w:val="clear" w:pos="720"/>
          <w:tab w:val="left" w:pos="284"/>
        </w:tabs>
        <w:spacing w:after="0" w:line="276" w:lineRule="auto"/>
        <w:ind w:left="284" w:firstLine="0"/>
        <w:rPr>
          <w:b/>
          <w:lang w:val="es-MX"/>
        </w:rPr>
      </w:pPr>
    </w:p>
    <w:p w14:paraId="792CCEEC" w14:textId="77777777" w:rsidR="00637C9C" w:rsidRPr="00FB6E0E" w:rsidRDefault="00637C9C" w:rsidP="00637C9C">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14:paraId="470B3E80" w14:textId="77777777" w:rsidR="00637C9C" w:rsidRDefault="00637C9C" w:rsidP="00637C9C">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14:paraId="15699DA1"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Otros Activos</w:t>
      </w:r>
    </w:p>
    <w:p w14:paraId="0FD0D6E6" w14:textId="71492D24" w:rsidR="00637C9C" w:rsidRPr="0073056A" w:rsidRDefault="00637C9C" w:rsidP="00637C9C">
      <w:pPr>
        <w:tabs>
          <w:tab w:val="left" w:pos="284"/>
        </w:tabs>
        <w:ind w:left="284"/>
        <w:jc w:val="both"/>
        <w:rPr>
          <w:rFonts w:ascii="Arial" w:hAnsi="Arial" w:cs="Arial"/>
          <w:sz w:val="18"/>
          <w:szCs w:val="18"/>
        </w:rPr>
      </w:pPr>
      <w:r>
        <w:rPr>
          <w:rFonts w:ascii="Arial" w:hAnsi="Arial" w:cs="Arial"/>
          <w:sz w:val="18"/>
          <w:szCs w:val="18"/>
        </w:rPr>
        <w:t xml:space="preserve">Al mes de </w:t>
      </w:r>
      <w:r w:rsidR="00B143E2">
        <w:rPr>
          <w:rFonts w:ascii="Arial" w:hAnsi="Arial" w:cs="Arial"/>
          <w:sz w:val="18"/>
          <w:szCs w:val="18"/>
        </w:rPr>
        <w:t>marzo</w:t>
      </w:r>
      <w:r>
        <w:rPr>
          <w:rFonts w:ascii="Arial" w:hAnsi="Arial" w:cs="Arial"/>
          <w:sz w:val="18"/>
          <w:szCs w:val="18"/>
        </w:rPr>
        <w:t xml:space="preserve"> del ejercicio 202</w:t>
      </w:r>
      <w:r w:rsidR="00B143E2">
        <w:rPr>
          <w:rFonts w:ascii="Arial" w:hAnsi="Arial" w:cs="Arial"/>
          <w:sz w:val="18"/>
          <w:szCs w:val="18"/>
        </w:rPr>
        <w:t>4</w:t>
      </w:r>
      <w:r>
        <w:rPr>
          <w:rFonts w:ascii="Arial" w:hAnsi="Arial" w:cs="Arial"/>
          <w:sz w:val="18"/>
          <w:szCs w:val="18"/>
        </w:rPr>
        <w:t>, el Poder Ejecutivo no cuenta con Otros Activos.</w:t>
      </w:r>
    </w:p>
    <w:p w14:paraId="59D0EBE0"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Pasivo</w:t>
      </w:r>
    </w:p>
    <w:p w14:paraId="3EF5E4AA" w14:textId="77777777" w:rsidR="00637C9C" w:rsidRPr="0073056A" w:rsidRDefault="00637C9C" w:rsidP="00637C9C">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14:paraId="7A5223FF" w14:textId="77777777" w:rsidR="00637C9C" w:rsidRPr="0073056A" w:rsidRDefault="00637C9C" w:rsidP="00637C9C">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14:paraId="3C3BF076" w14:textId="4B82A420" w:rsidR="00637C9C" w:rsidRDefault="00637C9C" w:rsidP="00637C9C">
      <w:pPr>
        <w:tabs>
          <w:tab w:val="left" w:pos="284"/>
        </w:tabs>
        <w:ind w:left="284"/>
        <w:jc w:val="both"/>
        <w:rPr>
          <w:rFonts w:ascii="Arial" w:hAnsi="Arial" w:cs="Arial"/>
          <w:sz w:val="18"/>
          <w:szCs w:val="18"/>
        </w:rPr>
      </w:pPr>
      <w:r>
        <w:rPr>
          <w:rFonts w:ascii="Arial" w:hAnsi="Arial" w:cs="Arial"/>
          <w:sz w:val="18"/>
          <w:szCs w:val="18"/>
        </w:rPr>
        <w:t>El saldo de $2,</w:t>
      </w:r>
      <w:r w:rsidR="00B143E2">
        <w:rPr>
          <w:rFonts w:ascii="Arial" w:hAnsi="Arial" w:cs="Arial"/>
          <w:sz w:val="18"/>
          <w:szCs w:val="18"/>
        </w:rPr>
        <w:t>131</w:t>
      </w:r>
      <w:r>
        <w:rPr>
          <w:rFonts w:ascii="Arial" w:hAnsi="Arial" w:cs="Arial"/>
          <w:sz w:val="18"/>
          <w:szCs w:val="18"/>
        </w:rPr>
        <w:t>,</w:t>
      </w:r>
      <w:r w:rsidR="00B143E2">
        <w:rPr>
          <w:rFonts w:ascii="Arial" w:hAnsi="Arial" w:cs="Arial"/>
          <w:sz w:val="18"/>
          <w:szCs w:val="18"/>
        </w:rPr>
        <w:t>999</w:t>
      </w:r>
      <w:r>
        <w:rPr>
          <w:rFonts w:ascii="Arial" w:hAnsi="Arial" w:cs="Arial"/>
          <w:sz w:val="18"/>
          <w:szCs w:val="18"/>
        </w:rPr>
        <w:t>,</w:t>
      </w:r>
      <w:r w:rsidR="00B143E2">
        <w:rPr>
          <w:rFonts w:ascii="Arial" w:hAnsi="Arial" w:cs="Arial"/>
          <w:sz w:val="18"/>
          <w:szCs w:val="18"/>
        </w:rPr>
        <w:t>436</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r>
        <w:rPr>
          <w:rFonts w:ascii="Arial" w:hAnsi="Arial" w:cs="Arial"/>
          <w:sz w:val="18"/>
          <w:szCs w:val="18"/>
        </w:rPr>
        <w:t xml:space="preserve"> En este rubro se tiene un </w:t>
      </w:r>
      <w:r w:rsidR="00A50357">
        <w:rPr>
          <w:rFonts w:ascii="Arial" w:hAnsi="Arial" w:cs="Arial"/>
          <w:sz w:val="18"/>
          <w:szCs w:val="18"/>
        </w:rPr>
        <w:t>in</w:t>
      </w:r>
      <w:r>
        <w:rPr>
          <w:rFonts w:ascii="Arial" w:hAnsi="Arial" w:cs="Arial"/>
          <w:sz w:val="18"/>
          <w:szCs w:val="18"/>
        </w:rPr>
        <w:t xml:space="preserve">cremento del </w:t>
      </w:r>
      <w:r w:rsidR="00A50357">
        <w:rPr>
          <w:rFonts w:ascii="Arial" w:hAnsi="Arial" w:cs="Arial"/>
          <w:sz w:val="18"/>
          <w:szCs w:val="18"/>
        </w:rPr>
        <w:t>79</w:t>
      </w:r>
      <w:r>
        <w:rPr>
          <w:rFonts w:ascii="Arial" w:hAnsi="Arial" w:cs="Arial"/>
          <w:sz w:val="18"/>
          <w:szCs w:val="18"/>
        </w:rPr>
        <w:t>% respecto del</w:t>
      </w:r>
      <w:r w:rsidR="00A50357">
        <w:rPr>
          <w:rFonts w:ascii="Arial" w:hAnsi="Arial" w:cs="Arial"/>
          <w:sz w:val="18"/>
          <w:szCs w:val="18"/>
        </w:rPr>
        <w:t xml:space="preserve"> mismo</w:t>
      </w:r>
      <w:r>
        <w:rPr>
          <w:rFonts w:ascii="Arial" w:hAnsi="Arial" w:cs="Arial"/>
          <w:sz w:val="18"/>
          <w:szCs w:val="18"/>
        </w:rPr>
        <w:t xml:space="preserve"> </w:t>
      </w:r>
      <w:r w:rsidR="00A50357">
        <w:rPr>
          <w:rFonts w:ascii="Arial" w:hAnsi="Arial" w:cs="Arial"/>
          <w:sz w:val="18"/>
          <w:szCs w:val="18"/>
        </w:rPr>
        <w:t xml:space="preserve">trimestre del </w:t>
      </w:r>
      <w:r>
        <w:rPr>
          <w:rFonts w:ascii="Arial" w:hAnsi="Arial" w:cs="Arial"/>
          <w:sz w:val="18"/>
          <w:szCs w:val="18"/>
        </w:rPr>
        <w:t>ejercicio 202</w:t>
      </w:r>
      <w:r w:rsidR="00815BB8">
        <w:rPr>
          <w:rFonts w:ascii="Arial" w:hAnsi="Arial" w:cs="Arial"/>
          <w:sz w:val="18"/>
          <w:szCs w:val="18"/>
        </w:rPr>
        <w:t>3</w:t>
      </w:r>
      <w:r>
        <w:rPr>
          <w:rFonts w:ascii="Arial" w:hAnsi="Arial" w:cs="Arial"/>
          <w:sz w:val="18"/>
          <w:szCs w:val="18"/>
        </w:rPr>
        <w:t>.</w:t>
      </w:r>
    </w:p>
    <w:p w14:paraId="2740C8A3" w14:textId="77777777" w:rsidR="00543F97" w:rsidRDefault="00543F97" w:rsidP="00CB45AD">
      <w:pPr>
        <w:tabs>
          <w:tab w:val="left" w:pos="284"/>
        </w:tabs>
        <w:spacing w:after="0"/>
        <w:ind w:left="284"/>
        <w:jc w:val="both"/>
        <w:rPr>
          <w:rFonts w:ascii="Arial" w:hAnsi="Arial" w:cs="Arial"/>
          <w:sz w:val="18"/>
          <w:szCs w:val="18"/>
        </w:rPr>
      </w:pPr>
    </w:p>
    <w:p w14:paraId="7B5DE29D" w14:textId="77777777" w:rsidR="005F52B3" w:rsidRPr="0073056A" w:rsidRDefault="005F52B3" w:rsidP="005F52B3">
      <w:pPr>
        <w:pStyle w:val="INCISO"/>
        <w:tabs>
          <w:tab w:val="left" w:pos="284"/>
        </w:tabs>
        <w:spacing w:after="0" w:line="276" w:lineRule="auto"/>
        <w:ind w:left="284" w:firstLine="0"/>
        <w:rPr>
          <w:b/>
          <w:smallCaps/>
        </w:rPr>
      </w:pPr>
      <w:r w:rsidRPr="00891820">
        <w:rPr>
          <w:b/>
          <w:smallCaps/>
        </w:rPr>
        <w:t>III)</w:t>
      </w:r>
      <w:r w:rsidRPr="00891820">
        <w:rPr>
          <w:b/>
          <w:smallCaps/>
        </w:rPr>
        <w:tab/>
        <w:t>Notas al Estado de Variación en la Hacienda Pública</w:t>
      </w:r>
    </w:p>
    <w:p w14:paraId="5BCB9339" w14:textId="77777777"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14:paraId="2BDBEB04" w14:textId="77777777" w:rsidR="00661352" w:rsidRDefault="00661352" w:rsidP="005F52B3">
      <w:pPr>
        <w:tabs>
          <w:tab w:val="left" w:pos="284"/>
        </w:tabs>
        <w:spacing w:after="0"/>
        <w:ind w:left="284"/>
        <w:jc w:val="both"/>
        <w:rPr>
          <w:rFonts w:ascii="Arial" w:hAnsi="Arial" w:cs="Arial"/>
          <w:b/>
          <w:sz w:val="18"/>
          <w:szCs w:val="18"/>
        </w:rPr>
      </w:pPr>
    </w:p>
    <w:p w14:paraId="2ED3D537" w14:textId="77777777"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14:paraId="0FA773E1" w14:textId="51774974" w:rsidR="00C013A1" w:rsidRDefault="008D7129" w:rsidP="005C02A4">
      <w:pPr>
        <w:ind w:left="284"/>
        <w:jc w:val="both"/>
        <w:rPr>
          <w:rFonts w:ascii="Arial" w:eastAsia="Times New Roman" w:hAnsi="Arial" w:cs="Arial"/>
          <w:bCs/>
          <w:sz w:val="18"/>
          <w:szCs w:val="18"/>
          <w:lang w:eastAsia="es-MX"/>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815BB8">
        <w:rPr>
          <w:rFonts w:ascii="Arial" w:hAnsi="Arial" w:cs="Arial"/>
          <w:sz w:val="18"/>
          <w:szCs w:val="18"/>
        </w:rPr>
        <w:t>marzo</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815BB8">
        <w:rPr>
          <w:rFonts w:ascii="Arial" w:hAnsi="Arial" w:cs="Arial"/>
          <w:sz w:val="18"/>
          <w:szCs w:val="18"/>
        </w:rPr>
        <w:t>4</w:t>
      </w:r>
      <w:r>
        <w:rPr>
          <w:rFonts w:ascii="Arial" w:hAnsi="Arial" w:cs="Arial"/>
          <w:sz w:val="18"/>
          <w:szCs w:val="18"/>
        </w:rPr>
        <w:t xml:space="preserve"> </w:t>
      </w:r>
      <w:r w:rsidRPr="0073056A">
        <w:rPr>
          <w:rFonts w:ascii="Arial" w:hAnsi="Arial" w:cs="Arial"/>
          <w:sz w:val="18"/>
          <w:szCs w:val="18"/>
        </w:rPr>
        <w:t>es por la cantidad de $</w:t>
      </w:r>
      <w:r w:rsidR="00815BB8">
        <w:rPr>
          <w:rFonts w:ascii="Arial" w:hAnsi="Arial" w:cs="Arial"/>
          <w:sz w:val="18"/>
          <w:szCs w:val="18"/>
        </w:rPr>
        <w:t>1</w:t>
      </w:r>
      <w:r w:rsidR="008A4453">
        <w:rPr>
          <w:rFonts w:ascii="Arial" w:hAnsi="Arial" w:cs="Arial"/>
          <w:sz w:val="18"/>
          <w:szCs w:val="18"/>
        </w:rPr>
        <w:t>,</w:t>
      </w:r>
      <w:r w:rsidR="00815BB8">
        <w:rPr>
          <w:rFonts w:ascii="Arial" w:hAnsi="Arial" w:cs="Arial"/>
          <w:sz w:val="18"/>
          <w:szCs w:val="18"/>
        </w:rPr>
        <w:t>60</w:t>
      </w:r>
      <w:r w:rsidR="00A50357">
        <w:rPr>
          <w:rFonts w:ascii="Arial" w:hAnsi="Arial" w:cs="Arial"/>
          <w:sz w:val="18"/>
          <w:szCs w:val="18"/>
        </w:rPr>
        <w:t>1</w:t>
      </w:r>
      <w:r>
        <w:rPr>
          <w:rFonts w:ascii="Arial" w:eastAsia="Times New Roman" w:hAnsi="Arial" w:cs="Arial"/>
          <w:bCs/>
          <w:sz w:val="18"/>
          <w:szCs w:val="18"/>
          <w:lang w:eastAsia="es-MX"/>
        </w:rPr>
        <w:t>,</w:t>
      </w:r>
      <w:r w:rsidR="00A50357">
        <w:rPr>
          <w:rFonts w:ascii="Arial" w:eastAsia="Times New Roman" w:hAnsi="Arial" w:cs="Arial"/>
          <w:bCs/>
          <w:sz w:val="18"/>
          <w:szCs w:val="18"/>
          <w:lang w:eastAsia="es-MX"/>
        </w:rPr>
        <w:t>334</w:t>
      </w:r>
      <w:r>
        <w:rPr>
          <w:rFonts w:ascii="Arial" w:eastAsia="Times New Roman" w:hAnsi="Arial" w:cs="Arial"/>
          <w:bCs/>
          <w:sz w:val="18"/>
          <w:szCs w:val="18"/>
          <w:lang w:eastAsia="es-MX"/>
        </w:rPr>
        <w:t>,</w:t>
      </w:r>
      <w:r w:rsidR="00A50357">
        <w:rPr>
          <w:rFonts w:ascii="Arial" w:eastAsia="Times New Roman" w:hAnsi="Arial" w:cs="Arial"/>
          <w:bCs/>
          <w:sz w:val="18"/>
          <w:szCs w:val="18"/>
          <w:lang w:eastAsia="es-MX"/>
        </w:rPr>
        <w:t>287</w:t>
      </w:r>
      <w:r w:rsidR="007156AF">
        <w:rPr>
          <w:rFonts w:ascii="Arial" w:eastAsia="Times New Roman" w:hAnsi="Arial" w:cs="Arial"/>
          <w:bCs/>
          <w:sz w:val="18"/>
          <w:szCs w:val="18"/>
          <w:lang w:eastAsia="es-MX"/>
        </w:rPr>
        <w:t>.</w:t>
      </w:r>
    </w:p>
    <w:p w14:paraId="26152A80" w14:textId="7E0A1F38" w:rsidR="00762268" w:rsidRPr="00DD29C2" w:rsidRDefault="00762268" w:rsidP="00DD29C2">
      <w:pPr>
        <w:tabs>
          <w:tab w:val="left" w:pos="284"/>
        </w:tabs>
        <w:spacing w:after="0"/>
        <w:ind w:left="284"/>
        <w:jc w:val="both"/>
        <w:rPr>
          <w:rFonts w:ascii="Arial" w:hAnsi="Arial" w:cs="Arial"/>
          <w:b/>
          <w:sz w:val="18"/>
          <w:szCs w:val="18"/>
        </w:rPr>
      </w:pPr>
    </w:p>
    <w:p w14:paraId="150C26FA" w14:textId="77777777"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14:paraId="0E3FFA53" w14:textId="77777777" w:rsidR="005768EA" w:rsidRDefault="005768EA" w:rsidP="005F52B3">
      <w:pPr>
        <w:pStyle w:val="INCISO"/>
        <w:tabs>
          <w:tab w:val="left" w:pos="284"/>
        </w:tabs>
        <w:spacing w:after="0" w:line="276" w:lineRule="auto"/>
        <w:ind w:left="284" w:firstLine="0"/>
        <w:rPr>
          <w:b/>
          <w:smallCaps/>
        </w:rPr>
      </w:pPr>
    </w:p>
    <w:p w14:paraId="4772E9CA" w14:textId="3EC46A08"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p>
    <w:p w14:paraId="1E7FC799" w14:textId="31084325"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8F5C9C">
        <w:rPr>
          <w:lang w:val="es-MX"/>
        </w:rPr>
        <w:t>in</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A50357">
        <w:rPr>
          <w:lang w:val="es-MX"/>
        </w:rPr>
        <w:t>1,09</w:t>
      </w:r>
      <w:r w:rsidR="00815BB8">
        <w:rPr>
          <w:lang w:val="es-MX"/>
        </w:rPr>
        <w:t>9</w:t>
      </w:r>
      <w:r w:rsidR="00AC2CB6">
        <w:rPr>
          <w:lang w:val="es-MX"/>
        </w:rPr>
        <w:t>,</w:t>
      </w:r>
      <w:r w:rsidR="00815BB8">
        <w:rPr>
          <w:lang w:val="es-MX"/>
        </w:rPr>
        <w:t>1</w:t>
      </w:r>
      <w:r w:rsidR="00A50357">
        <w:rPr>
          <w:lang w:val="es-MX"/>
        </w:rPr>
        <w:t>65</w:t>
      </w:r>
      <w:r w:rsidR="00AC2CB6">
        <w:rPr>
          <w:lang w:val="es-MX"/>
        </w:rPr>
        <w:t>,</w:t>
      </w:r>
      <w:r w:rsidR="00815BB8">
        <w:rPr>
          <w:lang w:val="es-MX"/>
        </w:rPr>
        <w:t>2</w:t>
      </w:r>
      <w:r w:rsidR="00A50357">
        <w:rPr>
          <w:lang w:val="es-MX"/>
        </w:rPr>
        <w:t>85, respecto al primer trimestre de 2023;</w:t>
      </w:r>
      <w:r w:rsidR="00817DFF">
        <w:rPr>
          <w:lang w:val="es-MX"/>
        </w:rPr>
        <w:t xml:space="preserve"> mismo que se integra por</w:t>
      </w:r>
      <w:r w:rsidR="005C02A4">
        <w:rPr>
          <w:lang w:val="es-MX"/>
        </w:rPr>
        <w:t>:</w:t>
      </w:r>
    </w:p>
    <w:p w14:paraId="2718EA90" w14:textId="77777777" w:rsidR="00661352" w:rsidRDefault="00661352" w:rsidP="005F52B3">
      <w:pPr>
        <w:pStyle w:val="ROMANOS"/>
        <w:tabs>
          <w:tab w:val="clear" w:pos="720"/>
          <w:tab w:val="left" w:pos="284"/>
        </w:tabs>
        <w:spacing w:after="0" w:line="276" w:lineRule="auto"/>
        <w:ind w:left="284" w:firstLine="0"/>
        <w:rPr>
          <w:b/>
          <w:lang w:val="es-MX"/>
        </w:rPr>
      </w:pPr>
    </w:p>
    <w:p w14:paraId="01EB4FB6" w14:textId="77777777"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14:paraId="3B5DB1D7" w14:textId="1AD930C9" w:rsidR="005C02A4" w:rsidRDefault="008D7129" w:rsidP="005F52B3">
      <w:pPr>
        <w:pStyle w:val="ROMANOS"/>
        <w:tabs>
          <w:tab w:val="clear" w:pos="720"/>
          <w:tab w:val="left" w:pos="284"/>
        </w:tabs>
        <w:spacing w:after="0" w:line="276" w:lineRule="auto"/>
        <w:ind w:left="284" w:firstLine="0"/>
        <w:rPr>
          <w:lang w:val="es-MX"/>
        </w:rPr>
      </w:pPr>
      <w:r>
        <w:rPr>
          <w:lang w:val="es-MX"/>
        </w:rPr>
        <w:lastRenderedPageBreak/>
        <w:t>Son las actividades que constituyen la principal fuente de ingresos de actividades ordinarias, destinadas a pagos a proveedores y empleados, reflejando un importe de $</w:t>
      </w:r>
      <w:r w:rsidR="00815BB8">
        <w:rPr>
          <w:lang w:val="es-MX"/>
        </w:rPr>
        <w:t>1</w:t>
      </w:r>
      <w:r w:rsidR="008F164F">
        <w:rPr>
          <w:lang w:val="es-MX"/>
        </w:rPr>
        <w:t>,</w:t>
      </w:r>
      <w:r w:rsidR="00611984">
        <w:rPr>
          <w:lang w:val="es-MX"/>
        </w:rPr>
        <w:t>5</w:t>
      </w:r>
      <w:r w:rsidR="00815BB8">
        <w:rPr>
          <w:lang w:val="es-MX"/>
        </w:rPr>
        <w:t>98</w:t>
      </w:r>
      <w:r w:rsidR="008F5C9C">
        <w:rPr>
          <w:lang w:val="es-MX"/>
        </w:rPr>
        <w:t>,</w:t>
      </w:r>
      <w:r w:rsidR="00815BB8">
        <w:rPr>
          <w:lang w:val="es-MX"/>
        </w:rPr>
        <w:t>180</w:t>
      </w:r>
      <w:r>
        <w:rPr>
          <w:lang w:val="es-MX"/>
        </w:rPr>
        <w:t>,</w:t>
      </w:r>
      <w:r w:rsidR="00815BB8">
        <w:rPr>
          <w:lang w:val="es-MX"/>
        </w:rPr>
        <w:t>856</w:t>
      </w:r>
      <w:r w:rsidR="00071E4C">
        <w:rPr>
          <w:lang w:val="es-MX"/>
        </w:rPr>
        <w:t>, reflejando un incremento del 25% respecto del mismo periodo de 2023</w:t>
      </w:r>
      <w:r>
        <w:rPr>
          <w:lang w:val="es-MX"/>
        </w:rPr>
        <w:t>.</w:t>
      </w:r>
    </w:p>
    <w:p w14:paraId="147C4BD8" w14:textId="77777777" w:rsidR="00661352" w:rsidRDefault="00661352" w:rsidP="005F52B3">
      <w:pPr>
        <w:pStyle w:val="ROMANOS"/>
        <w:tabs>
          <w:tab w:val="clear" w:pos="720"/>
          <w:tab w:val="left" w:pos="284"/>
        </w:tabs>
        <w:spacing w:after="0" w:line="276" w:lineRule="auto"/>
        <w:ind w:left="284" w:firstLine="0"/>
        <w:rPr>
          <w:b/>
          <w:lang w:val="es-MX"/>
        </w:rPr>
      </w:pPr>
    </w:p>
    <w:p w14:paraId="7F765390" w14:textId="77777777"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14:paraId="7970C10E" w14:textId="4B62E44C"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815BB8">
        <w:rPr>
          <w:lang w:val="es-MX"/>
        </w:rPr>
        <w:t>marzo</w:t>
      </w:r>
      <w:r>
        <w:rPr>
          <w:lang w:val="es-MX"/>
        </w:rPr>
        <w:t xml:space="preserve"> </w:t>
      </w:r>
      <w:r w:rsidR="00071E4C">
        <w:rPr>
          <w:lang w:val="es-MX"/>
        </w:rPr>
        <w:t xml:space="preserve">de 2024, </w:t>
      </w:r>
      <w:r>
        <w:rPr>
          <w:lang w:val="es-MX"/>
        </w:rPr>
        <w:t xml:space="preserve">un importe de </w:t>
      </w:r>
      <w:r w:rsidRPr="004466A7">
        <w:rPr>
          <w:lang w:val="es-MX"/>
        </w:rPr>
        <w:t>$</w:t>
      </w:r>
      <w:r w:rsidR="00071E4C">
        <w:rPr>
          <w:lang w:val="es-MX"/>
        </w:rPr>
        <w:t>-2,205,199,229, reflejando un incremento negativo del 87% respecto del mismo periodo de 2023</w:t>
      </w:r>
      <w:r w:rsidR="00815BB8">
        <w:rPr>
          <w:lang w:val="es-MX"/>
        </w:rPr>
        <w:t>.</w:t>
      </w:r>
    </w:p>
    <w:p w14:paraId="3B4BFABA" w14:textId="77777777" w:rsidR="009B66AA" w:rsidRDefault="009B66AA" w:rsidP="005F52B3">
      <w:pPr>
        <w:pStyle w:val="ROMANOS"/>
        <w:tabs>
          <w:tab w:val="clear" w:pos="720"/>
          <w:tab w:val="left" w:pos="284"/>
        </w:tabs>
        <w:spacing w:after="0" w:line="276" w:lineRule="auto"/>
        <w:ind w:left="284" w:firstLine="0"/>
        <w:rPr>
          <w:b/>
          <w:lang w:val="es-MX"/>
        </w:rPr>
      </w:pPr>
    </w:p>
    <w:p w14:paraId="45A1B75E" w14:textId="77777777"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14:paraId="68047E04" w14:textId="1B38C7E6"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611984">
        <w:rPr>
          <w:lang w:val="es-MX"/>
        </w:rPr>
        <w:t>1</w:t>
      </w:r>
      <w:r w:rsidRPr="00DA18AC">
        <w:rPr>
          <w:lang w:val="es-MX"/>
        </w:rPr>
        <w:t xml:space="preserve"> de </w:t>
      </w:r>
      <w:r w:rsidR="00815BB8">
        <w:rPr>
          <w:lang w:val="es-MX"/>
        </w:rPr>
        <w:t>marzo</w:t>
      </w:r>
      <w:r w:rsidRPr="00DA18AC">
        <w:rPr>
          <w:lang w:val="es-MX"/>
        </w:rPr>
        <w:t xml:space="preserve"> de 20</w:t>
      </w:r>
      <w:r w:rsidR="00466C1E">
        <w:rPr>
          <w:lang w:val="es-MX"/>
        </w:rPr>
        <w:t>2</w:t>
      </w:r>
      <w:r w:rsidR="00815BB8">
        <w:rPr>
          <w:lang w:val="es-MX"/>
        </w:rPr>
        <w:t>4</w:t>
      </w:r>
      <w:r w:rsidRPr="00DA18AC">
        <w:rPr>
          <w:lang w:val="es-MX"/>
        </w:rPr>
        <w:t xml:space="preserve"> de $</w:t>
      </w:r>
      <w:r w:rsidR="00071E4C">
        <w:rPr>
          <w:lang w:val="es-MX"/>
        </w:rPr>
        <w:t xml:space="preserve">1, </w:t>
      </w:r>
      <w:r w:rsidR="00815BB8">
        <w:rPr>
          <w:lang w:val="es-MX"/>
        </w:rPr>
        <w:t>9</w:t>
      </w:r>
      <w:r w:rsidR="00071E4C">
        <w:rPr>
          <w:lang w:val="es-MX"/>
        </w:rPr>
        <w:t>18</w:t>
      </w:r>
      <w:r w:rsidR="00A16DA6">
        <w:rPr>
          <w:lang w:val="es-MX"/>
        </w:rPr>
        <w:t>,</w:t>
      </w:r>
      <w:r w:rsidR="00815BB8">
        <w:rPr>
          <w:lang w:val="es-MX"/>
        </w:rPr>
        <w:t>3</w:t>
      </w:r>
      <w:r w:rsidR="00071E4C">
        <w:rPr>
          <w:lang w:val="es-MX"/>
        </w:rPr>
        <w:t>1</w:t>
      </w:r>
      <w:r w:rsidR="00815BB8">
        <w:rPr>
          <w:lang w:val="es-MX"/>
        </w:rPr>
        <w:t>6</w:t>
      </w:r>
      <w:r w:rsidR="00A16DA6">
        <w:rPr>
          <w:lang w:val="es-MX"/>
        </w:rPr>
        <w:t>,</w:t>
      </w:r>
      <w:r w:rsidR="00815BB8">
        <w:rPr>
          <w:lang w:val="es-MX"/>
        </w:rPr>
        <w:t>3</w:t>
      </w:r>
      <w:r w:rsidR="00071E4C">
        <w:rPr>
          <w:lang w:val="es-MX"/>
        </w:rPr>
        <w:t xml:space="preserve">50, </w:t>
      </w:r>
      <w:r w:rsidR="00071E4C">
        <w:t xml:space="preserve">presentando un incremento </w:t>
      </w:r>
      <w:r w:rsidR="007677CE">
        <w:t>mayor al 100</w:t>
      </w:r>
      <w:r w:rsidR="00071E4C">
        <w:t>% respecto del mismo trimestre del ejercicio 2023</w:t>
      </w:r>
      <w:r w:rsidR="007677CE">
        <w:t>.</w:t>
      </w:r>
    </w:p>
    <w:p w14:paraId="64B6AF4D" w14:textId="77777777" w:rsidR="00DD29C2" w:rsidRDefault="00DD29C2" w:rsidP="005F52B3">
      <w:pPr>
        <w:pStyle w:val="ROMANOS"/>
        <w:tabs>
          <w:tab w:val="clear" w:pos="720"/>
          <w:tab w:val="left" w:pos="284"/>
        </w:tabs>
        <w:spacing w:after="0" w:line="276" w:lineRule="auto"/>
        <w:ind w:left="284" w:firstLine="0"/>
        <w:rPr>
          <w:lang w:val="es-MX"/>
        </w:rPr>
      </w:pPr>
    </w:p>
    <w:p w14:paraId="08326B32" w14:textId="77777777" w:rsidR="009B66AA" w:rsidRDefault="009B66AA" w:rsidP="009B66AA">
      <w:pPr>
        <w:numPr>
          <w:ilvl w:val="0"/>
          <w:numId w:val="7"/>
        </w:numPr>
        <w:tabs>
          <w:tab w:val="left" w:pos="0"/>
        </w:tabs>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El análisis de los saldos inicial y final que figuran en la última parte del Estado de Flujo de Efectivo en la cuenta de efectivo y equivalentes es como sigue:</w:t>
      </w:r>
    </w:p>
    <w:p w14:paraId="638C7D2D" w14:textId="77777777" w:rsidR="009B66AA" w:rsidRDefault="009B66AA" w:rsidP="005F52B3">
      <w:pPr>
        <w:pStyle w:val="ROMANOS"/>
        <w:tabs>
          <w:tab w:val="clear" w:pos="720"/>
          <w:tab w:val="left" w:pos="284"/>
        </w:tabs>
        <w:spacing w:after="0" w:line="276" w:lineRule="auto"/>
        <w:ind w:left="284" w:firstLine="0"/>
        <w:rPr>
          <w:lang w:val="es-MX"/>
        </w:rPr>
      </w:pPr>
    </w:p>
    <w:tbl>
      <w:tblPr>
        <w:tblW w:w="0" w:type="auto"/>
        <w:jc w:val="center"/>
        <w:tblLayout w:type="fixed"/>
        <w:tblLook w:val="0000" w:firstRow="0" w:lastRow="0" w:firstColumn="0" w:lastColumn="0" w:noHBand="0" w:noVBand="0"/>
      </w:tblPr>
      <w:tblGrid>
        <w:gridCol w:w="4450"/>
        <w:gridCol w:w="1393"/>
        <w:gridCol w:w="1708"/>
      </w:tblGrid>
      <w:tr w:rsidR="009B66AA" w:rsidRPr="00450621" w14:paraId="3F5701C8"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F2E9225"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Efectivo y Equivalentes</w:t>
            </w:r>
          </w:p>
        </w:tc>
        <w:tc>
          <w:tcPr>
            <w:tcW w:w="1393" w:type="dxa"/>
            <w:tcBorders>
              <w:top w:val="single" w:sz="6" w:space="0" w:color="auto"/>
              <w:left w:val="single" w:sz="6" w:space="0" w:color="auto"/>
              <w:bottom w:val="single" w:sz="6" w:space="0" w:color="auto"/>
              <w:right w:val="single" w:sz="6" w:space="0" w:color="auto"/>
            </w:tcBorders>
          </w:tcPr>
          <w:p w14:paraId="48A97114"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p>
        </w:tc>
        <w:tc>
          <w:tcPr>
            <w:tcW w:w="1708" w:type="dxa"/>
            <w:tcBorders>
              <w:top w:val="single" w:sz="6" w:space="0" w:color="auto"/>
              <w:left w:val="single" w:sz="6" w:space="0" w:color="auto"/>
              <w:bottom w:val="single" w:sz="6" w:space="0" w:color="auto"/>
              <w:right w:val="single" w:sz="6" w:space="0" w:color="auto"/>
            </w:tcBorders>
          </w:tcPr>
          <w:p w14:paraId="2763EBBA"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p>
        </w:tc>
      </w:tr>
      <w:tr w:rsidR="009B66AA" w:rsidRPr="00450621" w14:paraId="292369FC"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07EC2CE0"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393" w:type="dxa"/>
            <w:tcBorders>
              <w:top w:val="single" w:sz="6" w:space="0" w:color="auto"/>
              <w:left w:val="single" w:sz="6" w:space="0" w:color="auto"/>
              <w:bottom w:val="single" w:sz="6" w:space="0" w:color="auto"/>
              <w:right w:val="single" w:sz="6" w:space="0" w:color="auto"/>
            </w:tcBorders>
          </w:tcPr>
          <w:p w14:paraId="0A825157"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2024</w:t>
            </w:r>
          </w:p>
        </w:tc>
        <w:tc>
          <w:tcPr>
            <w:tcW w:w="1708" w:type="dxa"/>
            <w:tcBorders>
              <w:top w:val="single" w:sz="6" w:space="0" w:color="auto"/>
              <w:left w:val="single" w:sz="6" w:space="0" w:color="auto"/>
              <w:bottom w:val="single" w:sz="6" w:space="0" w:color="auto"/>
              <w:right w:val="single" w:sz="6" w:space="0" w:color="auto"/>
            </w:tcBorders>
          </w:tcPr>
          <w:p w14:paraId="4477206A"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2023</w:t>
            </w:r>
          </w:p>
        </w:tc>
      </w:tr>
      <w:tr w:rsidR="009B66AA" w:rsidRPr="00450621" w14:paraId="36539F84"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EA5BC77"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Efectivo en Bancos –Tesorería</w:t>
            </w:r>
          </w:p>
        </w:tc>
        <w:tc>
          <w:tcPr>
            <w:tcW w:w="1393" w:type="dxa"/>
            <w:tcBorders>
              <w:top w:val="single" w:sz="6" w:space="0" w:color="auto"/>
              <w:left w:val="single" w:sz="6" w:space="0" w:color="auto"/>
              <w:bottom w:val="single" w:sz="6" w:space="0" w:color="auto"/>
              <w:right w:val="single" w:sz="6" w:space="0" w:color="auto"/>
            </w:tcBorders>
          </w:tcPr>
          <w:p w14:paraId="473C0BDA" w14:textId="60D5F978" w:rsidR="009B66AA" w:rsidRPr="00450621" w:rsidRDefault="0033784D"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831,815,803</w:t>
            </w:r>
          </w:p>
        </w:tc>
        <w:tc>
          <w:tcPr>
            <w:tcW w:w="1708" w:type="dxa"/>
            <w:tcBorders>
              <w:top w:val="single" w:sz="6" w:space="0" w:color="auto"/>
              <w:left w:val="single" w:sz="6" w:space="0" w:color="auto"/>
              <w:bottom w:val="single" w:sz="6" w:space="0" w:color="auto"/>
              <w:right w:val="single" w:sz="6" w:space="0" w:color="auto"/>
            </w:tcBorders>
          </w:tcPr>
          <w:p w14:paraId="659F963D" w14:textId="2DC7523F" w:rsidR="009B66AA" w:rsidRPr="00450621" w:rsidRDefault="00E90A09"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926,470,510</w:t>
            </w:r>
          </w:p>
        </w:tc>
      </w:tr>
      <w:tr w:rsidR="009B66AA" w:rsidRPr="00450621" w14:paraId="572F4F9A"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11B605F"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Efectivo en Bancos- Dependencias</w:t>
            </w:r>
          </w:p>
        </w:tc>
        <w:tc>
          <w:tcPr>
            <w:tcW w:w="1393" w:type="dxa"/>
            <w:tcBorders>
              <w:top w:val="single" w:sz="6" w:space="0" w:color="auto"/>
              <w:left w:val="single" w:sz="6" w:space="0" w:color="auto"/>
              <w:bottom w:val="single" w:sz="6" w:space="0" w:color="auto"/>
              <w:right w:val="single" w:sz="6" w:space="0" w:color="auto"/>
            </w:tcBorders>
          </w:tcPr>
          <w:p w14:paraId="524CF90C"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c>
          <w:tcPr>
            <w:tcW w:w="1708" w:type="dxa"/>
            <w:tcBorders>
              <w:top w:val="single" w:sz="6" w:space="0" w:color="auto"/>
              <w:left w:val="single" w:sz="6" w:space="0" w:color="auto"/>
              <w:bottom w:val="single" w:sz="6" w:space="0" w:color="auto"/>
              <w:right w:val="single" w:sz="6" w:space="0" w:color="auto"/>
            </w:tcBorders>
          </w:tcPr>
          <w:p w14:paraId="6DFB27B5"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9B66AA" w:rsidRPr="00450621" w14:paraId="44798CCC"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D0DA2BB"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 xml:space="preserve">Inversiones temporales (hasta 3 meses) </w:t>
            </w:r>
          </w:p>
        </w:tc>
        <w:tc>
          <w:tcPr>
            <w:tcW w:w="1393" w:type="dxa"/>
            <w:tcBorders>
              <w:top w:val="single" w:sz="6" w:space="0" w:color="auto"/>
              <w:left w:val="single" w:sz="6" w:space="0" w:color="auto"/>
              <w:bottom w:val="single" w:sz="6" w:space="0" w:color="auto"/>
              <w:right w:val="single" w:sz="6" w:space="0" w:color="auto"/>
            </w:tcBorders>
          </w:tcPr>
          <w:p w14:paraId="1F28CD55" w14:textId="67D8EF10" w:rsidR="009B66AA" w:rsidRPr="00450621" w:rsidRDefault="0033784D"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2,921,821,449</w:t>
            </w:r>
          </w:p>
        </w:tc>
        <w:tc>
          <w:tcPr>
            <w:tcW w:w="1708" w:type="dxa"/>
            <w:tcBorders>
              <w:top w:val="single" w:sz="6" w:space="0" w:color="auto"/>
              <w:left w:val="single" w:sz="6" w:space="0" w:color="auto"/>
              <w:bottom w:val="single" w:sz="6" w:space="0" w:color="auto"/>
              <w:right w:val="single" w:sz="6" w:space="0" w:color="auto"/>
            </w:tcBorders>
          </w:tcPr>
          <w:p w14:paraId="7B59F0D8" w14:textId="1523865F" w:rsidR="009B66AA" w:rsidRPr="00450621" w:rsidRDefault="00E90A09"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1,842,489,853</w:t>
            </w:r>
          </w:p>
        </w:tc>
      </w:tr>
      <w:tr w:rsidR="009B66AA" w:rsidRPr="00450621" w14:paraId="1C5C954E"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061B518B"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Fondos con afectación específica</w:t>
            </w:r>
          </w:p>
        </w:tc>
        <w:tc>
          <w:tcPr>
            <w:tcW w:w="1393" w:type="dxa"/>
            <w:tcBorders>
              <w:top w:val="single" w:sz="6" w:space="0" w:color="auto"/>
              <w:left w:val="single" w:sz="6" w:space="0" w:color="auto"/>
              <w:bottom w:val="single" w:sz="6" w:space="0" w:color="auto"/>
              <w:right w:val="single" w:sz="6" w:space="0" w:color="auto"/>
            </w:tcBorders>
          </w:tcPr>
          <w:p w14:paraId="6113F665"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c>
          <w:tcPr>
            <w:tcW w:w="1708" w:type="dxa"/>
            <w:tcBorders>
              <w:top w:val="single" w:sz="6" w:space="0" w:color="auto"/>
              <w:left w:val="single" w:sz="6" w:space="0" w:color="auto"/>
              <w:bottom w:val="single" w:sz="6" w:space="0" w:color="auto"/>
              <w:right w:val="single" w:sz="6" w:space="0" w:color="auto"/>
            </w:tcBorders>
          </w:tcPr>
          <w:p w14:paraId="55E063AC"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9B66AA" w:rsidRPr="00450621" w14:paraId="31B7877F"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26D88051"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Depósitos de fondos de terceros y otros</w:t>
            </w:r>
          </w:p>
        </w:tc>
        <w:tc>
          <w:tcPr>
            <w:tcW w:w="1393" w:type="dxa"/>
            <w:tcBorders>
              <w:top w:val="single" w:sz="6" w:space="0" w:color="auto"/>
              <w:left w:val="single" w:sz="6" w:space="0" w:color="auto"/>
              <w:bottom w:val="single" w:sz="6" w:space="0" w:color="auto"/>
              <w:right w:val="single" w:sz="6" w:space="0" w:color="auto"/>
            </w:tcBorders>
          </w:tcPr>
          <w:p w14:paraId="5ABF78FE" w14:textId="7705E8F8" w:rsidR="009B66AA" w:rsidRPr="00450621" w:rsidRDefault="0033784D"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63,227,779</w:t>
            </w:r>
          </w:p>
        </w:tc>
        <w:tc>
          <w:tcPr>
            <w:tcW w:w="1708" w:type="dxa"/>
            <w:tcBorders>
              <w:top w:val="single" w:sz="6" w:space="0" w:color="auto"/>
              <w:left w:val="single" w:sz="6" w:space="0" w:color="auto"/>
              <w:bottom w:val="single" w:sz="6" w:space="0" w:color="auto"/>
              <w:right w:val="single" w:sz="6" w:space="0" w:color="auto"/>
            </w:tcBorders>
          </w:tcPr>
          <w:p w14:paraId="7E9192BE" w14:textId="2707D203" w:rsidR="009B66AA" w:rsidRPr="00450621" w:rsidRDefault="00E90A09"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128,760,449</w:t>
            </w:r>
          </w:p>
        </w:tc>
      </w:tr>
      <w:tr w:rsidR="009B66AA" w:rsidRPr="00450621" w14:paraId="7B02BB27"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68D5F25E"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Total</w:t>
            </w:r>
          </w:p>
        </w:tc>
        <w:tc>
          <w:tcPr>
            <w:tcW w:w="1393" w:type="dxa"/>
            <w:tcBorders>
              <w:top w:val="single" w:sz="6" w:space="0" w:color="auto"/>
              <w:left w:val="single" w:sz="6" w:space="0" w:color="auto"/>
              <w:bottom w:val="single" w:sz="6" w:space="0" w:color="auto"/>
              <w:right w:val="single" w:sz="6" w:space="0" w:color="auto"/>
            </w:tcBorders>
          </w:tcPr>
          <w:p w14:paraId="72BFFB2E" w14:textId="5655D7A0" w:rsidR="009B66AA" w:rsidRPr="009B66AA" w:rsidRDefault="0033784D" w:rsidP="009B66AA">
            <w:pPr>
              <w:spacing w:after="0" w:line="240" w:lineRule="exact"/>
              <w:mirrorIndents/>
              <w:jc w:val="right"/>
              <w:rPr>
                <w:rFonts w:ascii="Arial" w:eastAsia="Times New Roman" w:hAnsi="Arial" w:cs="Arial"/>
                <w:b/>
                <w:sz w:val="18"/>
                <w:szCs w:val="18"/>
                <w:lang w:eastAsia="es-ES"/>
              </w:rPr>
            </w:pPr>
            <w:r>
              <w:rPr>
                <w:rFonts w:ascii="Arial" w:eastAsia="Times New Roman" w:hAnsi="Arial" w:cs="Arial"/>
                <w:b/>
                <w:sz w:val="18"/>
                <w:szCs w:val="18"/>
                <w:lang w:eastAsia="es-ES"/>
              </w:rPr>
              <w:t>3,816,865,032</w:t>
            </w:r>
          </w:p>
        </w:tc>
        <w:tc>
          <w:tcPr>
            <w:tcW w:w="1708" w:type="dxa"/>
            <w:tcBorders>
              <w:top w:val="single" w:sz="6" w:space="0" w:color="auto"/>
              <w:left w:val="single" w:sz="6" w:space="0" w:color="auto"/>
              <w:bottom w:val="single" w:sz="6" w:space="0" w:color="auto"/>
              <w:right w:val="single" w:sz="6" w:space="0" w:color="auto"/>
            </w:tcBorders>
          </w:tcPr>
          <w:p w14:paraId="4A13F74A" w14:textId="4A94DFE3" w:rsidR="009B66AA" w:rsidRPr="009B66AA" w:rsidRDefault="00E90A09" w:rsidP="009B66AA">
            <w:pPr>
              <w:spacing w:after="0" w:line="240" w:lineRule="exact"/>
              <w:mirrorIndents/>
              <w:jc w:val="right"/>
              <w:rPr>
                <w:rFonts w:ascii="Arial" w:eastAsia="Times New Roman" w:hAnsi="Arial" w:cs="Arial"/>
                <w:b/>
                <w:sz w:val="18"/>
                <w:szCs w:val="18"/>
                <w:lang w:eastAsia="es-ES"/>
              </w:rPr>
            </w:pPr>
            <w:r>
              <w:rPr>
                <w:rFonts w:ascii="Arial" w:eastAsia="Times New Roman" w:hAnsi="Arial" w:cs="Arial"/>
                <w:b/>
                <w:sz w:val="18"/>
                <w:szCs w:val="18"/>
                <w:lang w:eastAsia="es-ES"/>
              </w:rPr>
              <w:t>2,897,720,812</w:t>
            </w:r>
          </w:p>
        </w:tc>
      </w:tr>
    </w:tbl>
    <w:p w14:paraId="7CB1221F" w14:textId="77777777" w:rsidR="00802877" w:rsidRDefault="00802877" w:rsidP="00C50527">
      <w:pPr>
        <w:pStyle w:val="INCISO"/>
        <w:tabs>
          <w:tab w:val="left" w:pos="284"/>
        </w:tabs>
        <w:spacing w:after="0" w:line="276" w:lineRule="auto"/>
        <w:ind w:left="284" w:firstLine="0"/>
        <w:rPr>
          <w:b/>
          <w:smallCaps/>
        </w:rPr>
      </w:pPr>
    </w:p>
    <w:p w14:paraId="618F0802" w14:textId="77777777" w:rsidR="009B66AA" w:rsidRDefault="009B66AA" w:rsidP="009B66AA">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2. A</w:t>
      </w:r>
      <w:r w:rsidRPr="00DA460F">
        <w:rPr>
          <w:rFonts w:ascii="Arial" w:eastAsia="Times New Roman" w:hAnsi="Arial" w:cs="Arial"/>
          <w:sz w:val="18"/>
          <w:szCs w:val="18"/>
          <w:lang w:eastAsia="es-ES"/>
        </w:rPr>
        <w:t>dquisiciones de las Actividades de Inversión efectivamente pagadas, respecto del apartado de aplicación.</w:t>
      </w:r>
    </w:p>
    <w:p w14:paraId="4733184E" w14:textId="77777777" w:rsidR="009B66AA" w:rsidRDefault="009B66AA" w:rsidP="009B66AA">
      <w:pPr>
        <w:spacing w:after="0" w:line="240" w:lineRule="exact"/>
        <w:mirrorIndents/>
        <w:jc w:val="both"/>
        <w:rPr>
          <w:rFonts w:ascii="Arial" w:eastAsia="Times New Roman" w:hAnsi="Arial" w:cs="Arial"/>
          <w:sz w:val="18"/>
          <w:szCs w:val="18"/>
          <w:lang w:eastAsia="es-ES"/>
        </w:rPr>
      </w:pPr>
    </w:p>
    <w:tbl>
      <w:tblPr>
        <w:tblW w:w="9350" w:type="dxa"/>
        <w:jc w:val="center"/>
        <w:tblCellMar>
          <w:left w:w="70" w:type="dxa"/>
          <w:right w:w="70" w:type="dxa"/>
        </w:tblCellMar>
        <w:tblLook w:val="04A0" w:firstRow="1" w:lastRow="0" w:firstColumn="1" w:lastColumn="0" w:noHBand="0" w:noVBand="1"/>
      </w:tblPr>
      <w:tblGrid>
        <w:gridCol w:w="6765"/>
        <w:gridCol w:w="1318"/>
        <w:gridCol w:w="1267"/>
      </w:tblGrid>
      <w:tr w:rsidR="009B66AA" w:rsidRPr="00450621" w14:paraId="5C2CE80B" w14:textId="77777777" w:rsidTr="009B66AA">
        <w:trPr>
          <w:trHeight w:val="3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0E38518A" w14:textId="77777777" w:rsidR="009B66AA" w:rsidRPr="00450621" w:rsidRDefault="009B66AA" w:rsidP="009B66AA">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Adquisiciones de Actividades de Inversión Efectivamente pagadas</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219CCF83" w14:textId="77777777" w:rsidR="009B66AA" w:rsidRPr="00450621" w:rsidRDefault="009B66AA" w:rsidP="009B66AA">
            <w:pPr>
              <w:spacing w:after="0" w:line="240" w:lineRule="auto"/>
              <w:jc w:val="right"/>
              <w:rPr>
                <w:rFonts w:ascii="Arial" w:eastAsia="Times New Roman" w:hAnsi="Arial" w:cs="Arial"/>
                <w:b/>
                <w:bCs/>
                <w:color w:val="000000"/>
                <w:sz w:val="16"/>
                <w:szCs w:val="16"/>
                <w:lang w:eastAsia="es-MX"/>
              </w:rPr>
            </w:pPr>
          </w:p>
        </w:tc>
        <w:tc>
          <w:tcPr>
            <w:tcW w:w="1267" w:type="dxa"/>
            <w:tcBorders>
              <w:top w:val="single" w:sz="4" w:space="0" w:color="000000"/>
              <w:left w:val="nil"/>
              <w:bottom w:val="single" w:sz="4" w:space="0" w:color="000000"/>
              <w:right w:val="single" w:sz="4" w:space="0" w:color="000000"/>
            </w:tcBorders>
            <w:shd w:val="clear" w:color="000000" w:fill="D3D3D3"/>
          </w:tcPr>
          <w:p w14:paraId="17D186CB" w14:textId="77777777" w:rsidR="009B66AA" w:rsidRDefault="009B66AA" w:rsidP="009B66AA">
            <w:pPr>
              <w:spacing w:after="0" w:line="240" w:lineRule="auto"/>
              <w:jc w:val="right"/>
              <w:rPr>
                <w:rFonts w:ascii="Arial" w:eastAsia="Times New Roman" w:hAnsi="Arial" w:cs="Arial"/>
                <w:b/>
                <w:bCs/>
                <w:color w:val="000000"/>
                <w:sz w:val="16"/>
                <w:szCs w:val="16"/>
                <w:lang w:eastAsia="es-MX"/>
              </w:rPr>
            </w:pPr>
          </w:p>
        </w:tc>
      </w:tr>
      <w:tr w:rsidR="009B66AA" w:rsidRPr="00450621" w14:paraId="4E4B5F48" w14:textId="77777777" w:rsidTr="009B66AA">
        <w:trPr>
          <w:trHeight w:val="274"/>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tcPr>
          <w:p w14:paraId="41CEE715"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3983D87C"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2024</w:t>
            </w:r>
          </w:p>
        </w:tc>
        <w:tc>
          <w:tcPr>
            <w:tcW w:w="1267" w:type="dxa"/>
            <w:tcBorders>
              <w:top w:val="single" w:sz="4" w:space="0" w:color="000000"/>
              <w:left w:val="nil"/>
              <w:bottom w:val="single" w:sz="4" w:space="0" w:color="000000"/>
              <w:right w:val="single" w:sz="4" w:space="0" w:color="000000"/>
            </w:tcBorders>
            <w:shd w:val="clear" w:color="000000" w:fill="D3D3D3"/>
          </w:tcPr>
          <w:p w14:paraId="1214EE4F"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p>
          <w:p w14:paraId="4806F755"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2023</w:t>
            </w:r>
          </w:p>
        </w:tc>
      </w:tr>
      <w:tr w:rsidR="009B66AA" w:rsidRPr="00450621" w14:paraId="5C6B53C7"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3C931A1C" w14:textId="77777777" w:rsidR="009B66AA" w:rsidRPr="00450621" w:rsidRDefault="009B66AA" w:rsidP="009B66AA">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Bienes Inmuebles, Infraestructura y Construcciones en Proceso</w:t>
            </w:r>
          </w:p>
        </w:tc>
        <w:tc>
          <w:tcPr>
            <w:tcW w:w="1318" w:type="dxa"/>
            <w:tcBorders>
              <w:top w:val="nil"/>
              <w:left w:val="nil"/>
              <w:bottom w:val="single" w:sz="4" w:space="0" w:color="000000"/>
              <w:right w:val="single" w:sz="4" w:space="0" w:color="000000"/>
            </w:tcBorders>
            <w:shd w:val="clear" w:color="000000" w:fill="FFFFFF"/>
            <w:vAlign w:val="bottom"/>
            <w:hideMark/>
          </w:tcPr>
          <w:p w14:paraId="725D6C8D" w14:textId="77777777" w:rsidR="009B66AA" w:rsidRPr="00450621" w:rsidRDefault="009B66AA"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051A48E6" w14:textId="77777777" w:rsidR="009B66AA" w:rsidRDefault="009B66AA"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w:t>
            </w:r>
          </w:p>
        </w:tc>
      </w:tr>
      <w:tr w:rsidR="009B66AA" w:rsidRPr="00450621" w14:paraId="29A3B9EC"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C79EA4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Terrenos</w:t>
            </w:r>
          </w:p>
        </w:tc>
        <w:tc>
          <w:tcPr>
            <w:tcW w:w="1318" w:type="dxa"/>
            <w:tcBorders>
              <w:top w:val="nil"/>
              <w:left w:val="nil"/>
              <w:bottom w:val="single" w:sz="4" w:space="0" w:color="000000"/>
              <w:right w:val="single" w:sz="4" w:space="0" w:color="000000"/>
            </w:tcBorders>
            <w:shd w:val="clear" w:color="000000" w:fill="FFFFFF"/>
            <w:hideMark/>
          </w:tcPr>
          <w:p w14:paraId="0C1DC911"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6DB73CC8" w14:textId="32BA354F"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1,050,000</w:t>
            </w:r>
          </w:p>
        </w:tc>
      </w:tr>
      <w:tr w:rsidR="009B66AA" w:rsidRPr="00450621" w14:paraId="684E06A2"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920508E"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Viviendas</w:t>
            </w:r>
          </w:p>
        </w:tc>
        <w:tc>
          <w:tcPr>
            <w:tcW w:w="1318" w:type="dxa"/>
            <w:tcBorders>
              <w:top w:val="nil"/>
              <w:left w:val="nil"/>
              <w:bottom w:val="single" w:sz="4" w:space="0" w:color="000000"/>
              <w:right w:val="single" w:sz="4" w:space="0" w:color="000000"/>
            </w:tcBorders>
            <w:shd w:val="clear" w:color="000000" w:fill="FFFFFF"/>
            <w:hideMark/>
          </w:tcPr>
          <w:p w14:paraId="37BF0571"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640A02F"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8E3C48" w14:paraId="46B3D14C"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46173B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Edificios no Habitaciones</w:t>
            </w:r>
          </w:p>
        </w:tc>
        <w:tc>
          <w:tcPr>
            <w:tcW w:w="1318" w:type="dxa"/>
            <w:tcBorders>
              <w:top w:val="nil"/>
              <w:left w:val="nil"/>
              <w:bottom w:val="single" w:sz="4" w:space="0" w:color="000000"/>
              <w:right w:val="single" w:sz="4" w:space="0" w:color="000000"/>
            </w:tcBorders>
            <w:shd w:val="clear" w:color="000000" w:fill="FFFFFF"/>
            <w:hideMark/>
          </w:tcPr>
          <w:p w14:paraId="79A0AE15" w14:textId="77777777" w:rsidR="009B66AA" w:rsidRPr="008E3C48"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244358D6" w14:textId="77777777" w:rsidR="009B66AA" w:rsidRPr="008E3C48" w:rsidRDefault="009B66AA" w:rsidP="009B66AA">
            <w:pPr>
              <w:spacing w:after="0" w:line="240" w:lineRule="auto"/>
              <w:jc w:val="right"/>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0</w:t>
            </w:r>
          </w:p>
        </w:tc>
      </w:tr>
      <w:tr w:rsidR="009B66AA" w:rsidRPr="00450621" w14:paraId="1D97A82E"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B713C5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Infraestructura</w:t>
            </w:r>
          </w:p>
        </w:tc>
        <w:tc>
          <w:tcPr>
            <w:tcW w:w="1318" w:type="dxa"/>
            <w:tcBorders>
              <w:top w:val="nil"/>
              <w:left w:val="nil"/>
              <w:bottom w:val="single" w:sz="4" w:space="0" w:color="000000"/>
              <w:right w:val="single" w:sz="4" w:space="0" w:color="000000"/>
            </w:tcBorders>
            <w:shd w:val="clear" w:color="000000" w:fill="FFFFFF"/>
            <w:hideMark/>
          </w:tcPr>
          <w:p w14:paraId="4225508A"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2C8FA41D" w14:textId="77777777" w:rsidR="009B66AA"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66DAD95E"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E1BB6A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Construcciones en Proceso en Bienes de Dominio Público</w:t>
            </w:r>
          </w:p>
        </w:tc>
        <w:tc>
          <w:tcPr>
            <w:tcW w:w="1318" w:type="dxa"/>
            <w:tcBorders>
              <w:top w:val="nil"/>
              <w:left w:val="nil"/>
              <w:bottom w:val="single" w:sz="4" w:space="0" w:color="000000"/>
              <w:right w:val="single" w:sz="4" w:space="0" w:color="000000"/>
            </w:tcBorders>
            <w:shd w:val="clear" w:color="000000" w:fill="FFFFFF"/>
            <w:hideMark/>
          </w:tcPr>
          <w:p w14:paraId="683B7C4F"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4D1CD9C3" w14:textId="6E114A6D" w:rsidR="009B66AA" w:rsidRPr="00450621" w:rsidRDefault="00FF5A7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1,017,574,473</w:t>
            </w:r>
          </w:p>
        </w:tc>
      </w:tr>
      <w:tr w:rsidR="009B66AA" w:rsidRPr="00450621" w14:paraId="57078604"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4D1C89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Construcciones en Proceso en Bienes Propios</w:t>
            </w:r>
          </w:p>
        </w:tc>
        <w:tc>
          <w:tcPr>
            <w:tcW w:w="1318" w:type="dxa"/>
            <w:tcBorders>
              <w:top w:val="nil"/>
              <w:left w:val="nil"/>
              <w:bottom w:val="single" w:sz="4" w:space="0" w:color="000000"/>
              <w:right w:val="single" w:sz="4" w:space="0" w:color="000000"/>
            </w:tcBorders>
            <w:shd w:val="clear" w:color="000000" w:fill="FFFFFF"/>
            <w:hideMark/>
          </w:tcPr>
          <w:p w14:paraId="2F08E960"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03EDDB6D" w14:textId="2348DD01" w:rsidR="009B66AA" w:rsidRPr="00450621" w:rsidRDefault="00FF5A7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902,309,840</w:t>
            </w:r>
          </w:p>
        </w:tc>
      </w:tr>
      <w:tr w:rsidR="009B66AA" w:rsidRPr="00450621" w14:paraId="522C5B48"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6AD21BE"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Otros Bienes Inmuebles</w:t>
            </w:r>
          </w:p>
        </w:tc>
        <w:tc>
          <w:tcPr>
            <w:tcW w:w="1318" w:type="dxa"/>
            <w:tcBorders>
              <w:top w:val="nil"/>
              <w:left w:val="nil"/>
              <w:bottom w:val="single" w:sz="4" w:space="0" w:color="000000"/>
              <w:right w:val="single" w:sz="4" w:space="0" w:color="000000"/>
            </w:tcBorders>
            <w:shd w:val="clear" w:color="000000" w:fill="FFFFFF"/>
            <w:hideMark/>
          </w:tcPr>
          <w:p w14:paraId="4AF44B24"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18F38B1B" w14:textId="3CE7F926"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4E481B19"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AB6B62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b/>
                <w:bCs/>
                <w:color w:val="000000"/>
                <w:sz w:val="16"/>
                <w:szCs w:val="16"/>
                <w:lang w:eastAsia="es-MX"/>
              </w:rPr>
              <w:t>Bienes Muebles</w:t>
            </w:r>
          </w:p>
        </w:tc>
        <w:tc>
          <w:tcPr>
            <w:tcW w:w="1318" w:type="dxa"/>
            <w:tcBorders>
              <w:top w:val="nil"/>
              <w:left w:val="nil"/>
              <w:bottom w:val="single" w:sz="4" w:space="0" w:color="000000"/>
              <w:right w:val="single" w:sz="4" w:space="0" w:color="000000"/>
            </w:tcBorders>
            <w:shd w:val="clear" w:color="000000" w:fill="FFFFFF"/>
            <w:hideMark/>
          </w:tcPr>
          <w:p w14:paraId="1E766CE1" w14:textId="1DECF779" w:rsidR="009B66AA" w:rsidRPr="00FF5A7D" w:rsidRDefault="000D76D8" w:rsidP="009B66AA">
            <w:pPr>
              <w:spacing w:after="0" w:line="240" w:lineRule="auto"/>
              <w:jc w:val="right"/>
              <w:rPr>
                <w:rFonts w:ascii="Arial" w:eastAsia="Times New Roman" w:hAnsi="Arial" w:cs="Arial"/>
                <w:b/>
                <w:color w:val="000000"/>
                <w:sz w:val="14"/>
                <w:szCs w:val="14"/>
                <w:lang w:eastAsia="es-MX"/>
              </w:rPr>
            </w:pPr>
            <w:r w:rsidRPr="00FF5A7D">
              <w:rPr>
                <w:rFonts w:ascii="Arial" w:eastAsia="Times New Roman" w:hAnsi="Arial" w:cs="Arial"/>
                <w:b/>
                <w:color w:val="000000"/>
                <w:sz w:val="14"/>
                <w:szCs w:val="14"/>
                <w:lang w:eastAsia="es-MX"/>
              </w:rPr>
              <w:t>123,989</w:t>
            </w:r>
            <w:r w:rsidR="009B66AA" w:rsidRPr="00FF5A7D">
              <w:rPr>
                <w:rFonts w:ascii="Arial" w:eastAsia="Times New Roman" w:hAnsi="Arial" w:cs="Arial"/>
                <w:b/>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403BB97F" w14:textId="77777777" w:rsidR="009B66AA" w:rsidRPr="00FF5A7D" w:rsidRDefault="009B66AA" w:rsidP="009B66AA">
            <w:pPr>
              <w:spacing w:after="0" w:line="240" w:lineRule="auto"/>
              <w:jc w:val="right"/>
              <w:rPr>
                <w:rFonts w:ascii="Arial" w:eastAsia="Times New Roman" w:hAnsi="Arial" w:cs="Arial"/>
                <w:b/>
                <w:color w:val="000000"/>
                <w:sz w:val="14"/>
                <w:szCs w:val="14"/>
                <w:lang w:eastAsia="es-MX"/>
              </w:rPr>
            </w:pPr>
            <w:r w:rsidRPr="00FF5A7D">
              <w:rPr>
                <w:rFonts w:ascii="Arial" w:eastAsia="Times New Roman" w:hAnsi="Arial" w:cs="Arial"/>
                <w:b/>
                <w:color w:val="000000"/>
                <w:sz w:val="14"/>
                <w:szCs w:val="14"/>
                <w:lang w:eastAsia="es-MX"/>
              </w:rPr>
              <w:t>0</w:t>
            </w:r>
          </w:p>
        </w:tc>
      </w:tr>
      <w:tr w:rsidR="009B66AA" w:rsidRPr="00450621" w14:paraId="433BEC18"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F445F61"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Mobiliario y Equipo de Administración</w:t>
            </w:r>
          </w:p>
        </w:tc>
        <w:tc>
          <w:tcPr>
            <w:tcW w:w="1318" w:type="dxa"/>
            <w:tcBorders>
              <w:top w:val="nil"/>
              <w:left w:val="nil"/>
              <w:bottom w:val="single" w:sz="4" w:space="0" w:color="000000"/>
              <w:right w:val="single" w:sz="4" w:space="0" w:color="000000"/>
            </w:tcBorders>
            <w:shd w:val="clear" w:color="000000" w:fill="FFFFFF"/>
            <w:hideMark/>
          </w:tcPr>
          <w:p w14:paraId="3D0BE926" w14:textId="6A278780" w:rsidR="009B66AA" w:rsidRPr="00450621" w:rsidRDefault="000D76D8"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49,527</w:t>
            </w:r>
          </w:p>
        </w:tc>
        <w:tc>
          <w:tcPr>
            <w:tcW w:w="1267" w:type="dxa"/>
            <w:tcBorders>
              <w:top w:val="nil"/>
              <w:left w:val="nil"/>
              <w:bottom w:val="single" w:sz="4" w:space="0" w:color="000000"/>
              <w:right w:val="single" w:sz="4" w:space="0" w:color="000000"/>
            </w:tcBorders>
            <w:shd w:val="clear" w:color="000000" w:fill="FFFFFF"/>
          </w:tcPr>
          <w:p w14:paraId="0CFC39A3" w14:textId="12134530" w:rsidR="009B66AA" w:rsidRPr="00450621" w:rsidRDefault="00FF5A7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62,159,087</w:t>
            </w:r>
          </w:p>
        </w:tc>
      </w:tr>
      <w:tr w:rsidR="009B66AA" w:rsidRPr="00450621" w14:paraId="7BA3869A"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CDD324D"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Mobiliario y Equipo Educacional y Recreativ</w:t>
            </w:r>
            <w:r>
              <w:rPr>
                <w:rFonts w:ascii="Arial" w:eastAsia="Times New Roman" w:hAnsi="Arial" w:cs="Arial"/>
                <w:color w:val="000000"/>
                <w:sz w:val="14"/>
                <w:szCs w:val="14"/>
                <w:lang w:eastAsia="es-MX"/>
              </w:rPr>
              <w:t>o</w:t>
            </w:r>
          </w:p>
        </w:tc>
        <w:tc>
          <w:tcPr>
            <w:tcW w:w="1318" w:type="dxa"/>
            <w:tcBorders>
              <w:top w:val="nil"/>
              <w:left w:val="nil"/>
              <w:bottom w:val="single" w:sz="4" w:space="0" w:color="000000"/>
              <w:right w:val="single" w:sz="4" w:space="0" w:color="000000"/>
            </w:tcBorders>
            <w:shd w:val="clear" w:color="000000" w:fill="FFFFFF"/>
            <w:hideMark/>
          </w:tcPr>
          <w:p w14:paraId="7CDFAF27" w14:textId="342C291E" w:rsidR="009B66AA" w:rsidRPr="00450621" w:rsidRDefault="00FF5A7D" w:rsidP="00FF5A7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66,462</w:t>
            </w:r>
            <w:r w:rsidR="009B66AA"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2C4F5CB0" w14:textId="4818CD23"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4,004,405</w:t>
            </w:r>
          </w:p>
        </w:tc>
      </w:tr>
      <w:tr w:rsidR="009B66AA" w:rsidRPr="00450621" w14:paraId="44309171"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B6FCAC4"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Equipo e Instrumental Médico y de Laboratorio</w:t>
            </w:r>
          </w:p>
        </w:tc>
        <w:tc>
          <w:tcPr>
            <w:tcW w:w="1318" w:type="dxa"/>
            <w:tcBorders>
              <w:top w:val="nil"/>
              <w:left w:val="nil"/>
              <w:bottom w:val="single" w:sz="4" w:space="0" w:color="000000"/>
              <w:right w:val="single" w:sz="4" w:space="0" w:color="000000"/>
            </w:tcBorders>
            <w:shd w:val="clear" w:color="000000" w:fill="FFFFFF"/>
            <w:hideMark/>
          </w:tcPr>
          <w:p w14:paraId="1AC28EC2"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4EB5BE1" w14:textId="130A42B8"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108,201,327</w:t>
            </w:r>
          </w:p>
        </w:tc>
      </w:tr>
      <w:tr w:rsidR="009B66AA" w:rsidRPr="00450621" w14:paraId="5E390323"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6487990"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Vehículos y Equipo de Transporte</w:t>
            </w:r>
          </w:p>
        </w:tc>
        <w:tc>
          <w:tcPr>
            <w:tcW w:w="1318" w:type="dxa"/>
            <w:tcBorders>
              <w:top w:val="nil"/>
              <w:left w:val="nil"/>
              <w:bottom w:val="single" w:sz="4" w:space="0" w:color="000000"/>
              <w:right w:val="single" w:sz="4" w:space="0" w:color="000000"/>
            </w:tcBorders>
            <w:shd w:val="clear" w:color="000000" w:fill="FFFFFF"/>
            <w:hideMark/>
          </w:tcPr>
          <w:p w14:paraId="756C5729"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5858B588" w14:textId="659F3C99"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66,079,785</w:t>
            </w:r>
          </w:p>
        </w:tc>
      </w:tr>
      <w:tr w:rsidR="009B66AA" w:rsidRPr="00450621" w14:paraId="6B84FD14"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C3A42A9"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Equipo de Defensa y Seguridad</w:t>
            </w:r>
          </w:p>
        </w:tc>
        <w:tc>
          <w:tcPr>
            <w:tcW w:w="1318" w:type="dxa"/>
            <w:tcBorders>
              <w:top w:val="nil"/>
              <w:left w:val="nil"/>
              <w:bottom w:val="single" w:sz="4" w:space="0" w:color="000000"/>
              <w:right w:val="single" w:sz="4" w:space="0" w:color="000000"/>
            </w:tcBorders>
            <w:shd w:val="clear" w:color="000000" w:fill="FFFFFF"/>
            <w:hideMark/>
          </w:tcPr>
          <w:p w14:paraId="721C2B47"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DB5337C" w14:textId="7F7F7A48"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11,110,650</w:t>
            </w:r>
          </w:p>
        </w:tc>
      </w:tr>
      <w:tr w:rsidR="009B66AA" w:rsidRPr="00450621" w14:paraId="358CF93A"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7EDCAB8"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Maquinaria, Otros Equipos y Herramientas</w:t>
            </w:r>
          </w:p>
        </w:tc>
        <w:tc>
          <w:tcPr>
            <w:tcW w:w="1318" w:type="dxa"/>
            <w:tcBorders>
              <w:top w:val="nil"/>
              <w:left w:val="nil"/>
              <w:bottom w:val="single" w:sz="4" w:space="0" w:color="000000"/>
              <w:right w:val="single" w:sz="4" w:space="0" w:color="000000"/>
            </w:tcBorders>
            <w:shd w:val="clear" w:color="000000" w:fill="FFFFFF"/>
            <w:hideMark/>
          </w:tcPr>
          <w:p w14:paraId="2886E8C2" w14:textId="3D39B1B6" w:rsidR="009B66AA" w:rsidRPr="00450621" w:rsidRDefault="00FF5A7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7,999</w:t>
            </w:r>
          </w:p>
        </w:tc>
        <w:tc>
          <w:tcPr>
            <w:tcW w:w="1267" w:type="dxa"/>
            <w:tcBorders>
              <w:top w:val="nil"/>
              <w:left w:val="nil"/>
              <w:bottom w:val="single" w:sz="4" w:space="0" w:color="000000"/>
              <w:right w:val="single" w:sz="4" w:space="0" w:color="000000"/>
            </w:tcBorders>
            <w:shd w:val="clear" w:color="000000" w:fill="FFFFFF"/>
          </w:tcPr>
          <w:p w14:paraId="5A9C343D" w14:textId="00B1CB32"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202,039,916</w:t>
            </w:r>
          </w:p>
        </w:tc>
      </w:tr>
      <w:tr w:rsidR="009B66AA" w:rsidRPr="00450621" w14:paraId="4E0E7CF5"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C420394"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Colecciones, Obras de Arte y Objetos Valiosos</w:t>
            </w:r>
          </w:p>
        </w:tc>
        <w:tc>
          <w:tcPr>
            <w:tcW w:w="1318" w:type="dxa"/>
            <w:tcBorders>
              <w:top w:val="nil"/>
              <w:left w:val="nil"/>
              <w:bottom w:val="single" w:sz="4" w:space="0" w:color="000000"/>
              <w:right w:val="single" w:sz="4" w:space="0" w:color="000000"/>
            </w:tcBorders>
            <w:shd w:val="clear" w:color="000000" w:fill="FFFFFF"/>
            <w:hideMark/>
          </w:tcPr>
          <w:p w14:paraId="0B9038FC"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6E6C489"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55396EA8"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CDC9DE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Activos Biológicos</w:t>
            </w:r>
          </w:p>
        </w:tc>
        <w:tc>
          <w:tcPr>
            <w:tcW w:w="1318" w:type="dxa"/>
            <w:tcBorders>
              <w:top w:val="nil"/>
              <w:left w:val="nil"/>
              <w:bottom w:val="single" w:sz="4" w:space="0" w:color="000000"/>
              <w:right w:val="single" w:sz="4" w:space="0" w:color="000000"/>
            </w:tcBorders>
            <w:shd w:val="clear" w:color="000000" w:fill="FFFFFF"/>
            <w:hideMark/>
          </w:tcPr>
          <w:p w14:paraId="56A21A54"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23D8F4F0"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6B4B280C"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7570A36" w14:textId="77777777" w:rsidR="009B66AA" w:rsidRPr="00083788" w:rsidRDefault="009B66AA" w:rsidP="009B66AA">
            <w:pPr>
              <w:spacing w:after="0" w:line="240" w:lineRule="auto"/>
              <w:rPr>
                <w:rFonts w:ascii="Arial" w:eastAsia="Times New Roman" w:hAnsi="Arial" w:cs="Arial"/>
                <w:b/>
                <w:color w:val="000000"/>
                <w:sz w:val="14"/>
                <w:szCs w:val="14"/>
                <w:lang w:eastAsia="es-MX"/>
              </w:rPr>
            </w:pPr>
            <w:r w:rsidRPr="00083788">
              <w:rPr>
                <w:rFonts w:ascii="Arial" w:eastAsia="Times New Roman" w:hAnsi="Arial" w:cs="Arial"/>
                <w:b/>
                <w:color w:val="000000"/>
                <w:sz w:val="14"/>
                <w:szCs w:val="14"/>
                <w:lang w:eastAsia="es-MX"/>
              </w:rPr>
              <w:t>Otras Inversiones</w:t>
            </w:r>
          </w:p>
        </w:tc>
        <w:tc>
          <w:tcPr>
            <w:tcW w:w="1318" w:type="dxa"/>
            <w:tcBorders>
              <w:top w:val="nil"/>
              <w:left w:val="nil"/>
              <w:bottom w:val="single" w:sz="4" w:space="0" w:color="000000"/>
              <w:right w:val="single" w:sz="4" w:space="0" w:color="000000"/>
            </w:tcBorders>
            <w:shd w:val="clear" w:color="000000" w:fill="FFFFFF"/>
            <w:hideMark/>
          </w:tcPr>
          <w:p w14:paraId="012F71AB"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14285B81" w14:textId="20121C8D"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125,275,413</w:t>
            </w:r>
          </w:p>
        </w:tc>
      </w:tr>
      <w:tr w:rsidR="009B66AA" w:rsidRPr="00450621" w14:paraId="532DAEF9"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3D4C44F1"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TOTAL</w:t>
            </w:r>
          </w:p>
        </w:tc>
        <w:tc>
          <w:tcPr>
            <w:tcW w:w="1318" w:type="dxa"/>
            <w:tcBorders>
              <w:top w:val="nil"/>
              <w:left w:val="nil"/>
              <w:bottom w:val="single" w:sz="4" w:space="0" w:color="000000"/>
              <w:right w:val="single" w:sz="4" w:space="0" w:color="000000"/>
            </w:tcBorders>
            <w:shd w:val="clear" w:color="000000" w:fill="D3D3D3"/>
            <w:vAlign w:val="bottom"/>
            <w:hideMark/>
          </w:tcPr>
          <w:p w14:paraId="31FD9510" w14:textId="27FF69F9" w:rsidR="009B66AA" w:rsidRPr="00450621" w:rsidRDefault="00FF5A7D"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123,989</w:t>
            </w:r>
          </w:p>
        </w:tc>
        <w:tc>
          <w:tcPr>
            <w:tcW w:w="1267" w:type="dxa"/>
            <w:tcBorders>
              <w:top w:val="nil"/>
              <w:left w:val="nil"/>
              <w:bottom w:val="single" w:sz="4" w:space="0" w:color="000000"/>
              <w:right w:val="single" w:sz="4" w:space="0" w:color="000000"/>
            </w:tcBorders>
            <w:shd w:val="clear" w:color="000000" w:fill="D3D3D3"/>
          </w:tcPr>
          <w:p w14:paraId="083443D6" w14:textId="77777777" w:rsidR="00AA35F1" w:rsidRDefault="00AA35F1" w:rsidP="009B66AA">
            <w:pPr>
              <w:spacing w:after="0" w:line="240" w:lineRule="auto"/>
              <w:jc w:val="right"/>
              <w:rPr>
                <w:rFonts w:ascii="Arial" w:eastAsia="Times New Roman" w:hAnsi="Arial" w:cs="Arial"/>
                <w:b/>
                <w:bCs/>
                <w:color w:val="000000"/>
                <w:sz w:val="16"/>
                <w:szCs w:val="16"/>
                <w:lang w:eastAsia="es-MX"/>
              </w:rPr>
            </w:pPr>
          </w:p>
          <w:p w14:paraId="684C5389" w14:textId="602F0DE0" w:rsidR="009B66AA" w:rsidRDefault="00AA35F1"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2,499,804,896</w:t>
            </w:r>
          </w:p>
        </w:tc>
      </w:tr>
    </w:tbl>
    <w:p w14:paraId="42FCF9C6" w14:textId="7F5B9157" w:rsidR="00802877" w:rsidRDefault="00802877" w:rsidP="00C50527">
      <w:pPr>
        <w:pStyle w:val="INCISO"/>
        <w:tabs>
          <w:tab w:val="left" w:pos="284"/>
        </w:tabs>
        <w:spacing w:after="0" w:line="276" w:lineRule="auto"/>
        <w:ind w:left="284" w:firstLine="0"/>
        <w:rPr>
          <w:b/>
          <w:smallCaps/>
        </w:rPr>
      </w:pPr>
    </w:p>
    <w:p w14:paraId="65F36237" w14:textId="77777777" w:rsidR="009B66AA" w:rsidRDefault="009B66AA" w:rsidP="009B66AA">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lastRenderedPageBreak/>
        <w:t xml:space="preserve">3. </w:t>
      </w:r>
      <w:r w:rsidRPr="00083788">
        <w:rPr>
          <w:rFonts w:ascii="Arial" w:eastAsia="Times New Roman" w:hAnsi="Arial" w:cs="Arial"/>
          <w:sz w:val="18"/>
          <w:szCs w:val="18"/>
          <w:lang w:eastAsia="es-ES"/>
        </w:rPr>
        <w:t>Conciliación de los Flujos de Efectivo Netos de las Actividades de Operación y los saldos de Resultados d</w:t>
      </w:r>
      <w:r>
        <w:rPr>
          <w:rFonts w:ascii="Arial" w:eastAsia="Times New Roman" w:hAnsi="Arial" w:cs="Arial"/>
          <w:sz w:val="18"/>
          <w:szCs w:val="18"/>
          <w:lang w:eastAsia="es-ES"/>
        </w:rPr>
        <w:t>el Ejercicio (Ahorro/Desahorro).</w:t>
      </w:r>
    </w:p>
    <w:p w14:paraId="36AD7081" w14:textId="77777777" w:rsidR="009B66AA" w:rsidRDefault="009B66AA" w:rsidP="009B66AA">
      <w:pPr>
        <w:spacing w:after="0" w:line="240" w:lineRule="exact"/>
        <w:mirrorIndents/>
        <w:jc w:val="both"/>
        <w:rPr>
          <w:rFonts w:ascii="Arial" w:eastAsia="Times New Roman" w:hAnsi="Arial" w:cs="Arial"/>
          <w:b/>
          <w:smallCaps/>
          <w:sz w:val="18"/>
          <w:szCs w:val="18"/>
          <w:lang w:val="es-ES" w:eastAsia="es-ES"/>
        </w:rPr>
      </w:pPr>
    </w:p>
    <w:tbl>
      <w:tblPr>
        <w:tblW w:w="9350" w:type="dxa"/>
        <w:jc w:val="center"/>
        <w:tblCellMar>
          <w:left w:w="70" w:type="dxa"/>
          <w:right w:w="70" w:type="dxa"/>
        </w:tblCellMar>
        <w:tblLook w:val="04A0" w:firstRow="1" w:lastRow="0" w:firstColumn="1" w:lastColumn="0" w:noHBand="0" w:noVBand="1"/>
      </w:tblPr>
      <w:tblGrid>
        <w:gridCol w:w="6765"/>
        <w:gridCol w:w="1318"/>
        <w:gridCol w:w="1267"/>
      </w:tblGrid>
      <w:tr w:rsidR="009B66AA" w:rsidRPr="00450621" w14:paraId="17ACD8C5" w14:textId="77777777" w:rsidTr="009B66AA">
        <w:trPr>
          <w:trHeight w:val="3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36C1E00D"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CONCILIACION DE FLUJOS DE EFECTIVO NETOS</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46BD2EBC" w14:textId="77777777" w:rsidR="009B66AA" w:rsidRPr="00450621" w:rsidRDefault="009B66AA" w:rsidP="009B66AA">
            <w:pPr>
              <w:spacing w:after="0" w:line="240" w:lineRule="auto"/>
              <w:jc w:val="right"/>
              <w:rPr>
                <w:rFonts w:ascii="Arial" w:eastAsia="Times New Roman" w:hAnsi="Arial" w:cs="Arial"/>
                <w:b/>
                <w:bCs/>
                <w:color w:val="000000"/>
                <w:sz w:val="16"/>
                <w:szCs w:val="16"/>
                <w:lang w:eastAsia="es-MX"/>
              </w:rPr>
            </w:pPr>
          </w:p>
        </w:tc>
        <w:tc>
          <w:tcPr>
            <w:tcW w:w="1267" w:type="dxa"/>
            <w:tcBorders>
              <w:top w:val="single" w:sz="4" w:space="0" w:color="000000"/>
              <w:left w:val="nil"/>
              <w:bottom w:val="single" w:sz="4" w:space="0" w:color="000000"/>
              <w:right w:val="single" w:sz="4" w:space="0" w:color="000000"/>
            </w:tcBorders>
            <w:shd w:val="clear" w:color="000000" w:fill="D3D3D3"/>
          </w:tcPr>
          <w:p w14:paraId="62B6BE3B" w14:textId="77777777" w:rsidR="009B66AA" w:rsidRDefault="009B66AA" w:rsidP="009B66AA">
            <w:pPr>
              <w:spacing w:after="0" w:line="240" w:lineRule="auto"/>
              <w:jc w:val="right"/>
              <w:rPr>
                <w:rFonts w:ascii="Arial" w:eastAsia="Times New Roman" w:hAnsi="Arial" w:cs="Arial"/>
                <w:b/>
                <w:bCs/>
                <w:color w:val="000000"/>
                <w:sz w:val="16"/>
                <w:szCs w:val="16"/>
                <w:lang w:eastAsia="es-MX"/>
              </w:rPr>
            </w:pPr>
          </w:p>
        </w:tc>
      </w:tr>
      <w:tr w:rsidR="009B66AA" w:rsidRPr="00450621" w14:paraId="20AB26CA" w14:textId="77777777" w:rsidTr="009B66AA">
        <w:trPr>
          <w:trHeight w:val="274"/>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tcPr>
          <w:p w14:paraId="5D04B04B"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17EC05F7"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2024</w:t>
            </w:r>
          </w:p>
        </w:tc>
        <w:tc>
          <w:tcPr>
            <w:tcW w:w="1267" w:type="dxa"/>
            <w:tcBorders>
              <w:top w:val="single" w:sz="4" w:space="0" w:color="000000"/>
              <w:left w:val="nil"/>
              <w:bottom w:val="single" w:sz="4" w:space="0" w:color="000000"/>
              <w:right w:val="single" w:sz="4" w:space="0" w:color="000000"/>
            </w:tcBorders>
            <w:shd w:val="clear" w:color="000000" w:fill="D3D3D3"/>
          </w:tcPr>
          <w:p w14:paraId="503BE17C"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p>
          <w:p w14:paraId="54AD8A9A" w14:textId="11ED1B45"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2023</w:t>
            </w:r>
          </w:p>
        </w:tc>
      </w:tr>
      <w:tr w:rsidR="009B66AA" w:rsidRPr="00450621" w14:paraId="47D85714"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60FBDBFD" w14:textId="77777777" w:rsidR="009B66AA" w:rsidRPr="00450621" w:rsidRDefault="009B66AA" w:rsidP="009B66AA">
            <w:pPr>
              <w:spacing w:after="0" w:line="240" w:lineRule="auto"/>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Resultados del Ejercicio Ahorro/Desahorro</w:t>
            </w:r>
          </w:p>
        </w:tc>
        <w:tc>
          <w:tcPr>
            <w:tcW w:w="1318" w:type="dxa"/>
            <w:tcBorders>
              <w:top w:val="nil"/>
              <w:left w:val="nil"/>
              <w:bottom w:val="single" w:sz="4" w:space="0" w:color="000000"/>
              <w:right w:val="single" w:sz="4" w:space="0" w:color="000000"/>
            </w:tcBorders>
            <w:shd w:val="clear" w:color="000000" w:fill="FFFFFF"/>
            <w:vAlign w:val="bottom"/>
            <w:hideMark/>
          </w:tcPr>
          <w:p w14:paraId="39335320" w14:textId="60DF41BC" w:rsidR="009B66AA" w:rsidRPr="00450621" w:rsidRDefault="00E90A09"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1,598,180,856</w:t>
            </w:r>
          </w:p>
        </w:tc>
        <w:tc>
          <w:tcPr>
            <w:tcW w:w="1267" w:type="dxa"/>
            <w:tcBorders>
              <w:top w:val="nil"/>
              <w:left w:val="nil"/>
              <w:bottom w:val="single" w:sz="4" w:space="0" w:color="000000"/>
              <w:right w:val="single" w:sz="4" w:space="0" w:color="000000"/>
            </w:tcBorders>
            <w:shd w:val="clear" w:color="000000" w:fill="FFFFFF"/>
          </w:tcPr>
          <w:p w14:paraId="0108C0C8" w14:textId="258609B7" w:rsidR="009B66AA" w:rsidRDefault="00E90A09"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2,545,873,724</w:t>
            </w:r>
          </w:p>
        </w:tc>
      </w:tr>
      <w:tr w:rsidR="009B66AA" w:rsidRPr="00450621" w14:paraId="424F270A"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1916A5D"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Movimientos de partidas (o rubros) que no afectan al efectivo</w:t>
            </w:r>
          </w:p>
        </w:tc>
        <w:tc>
          <w:tcPr>
            <w:tcW w:w="1318" w:type="dxa"/>
            <w:tcBorders>
              <w:top w:val="nil"/>
              <w:left w:val="nil"/>
              <w:bottom w:val="single" w:sz="4" w:space="0" w:color="000000"/>
              <w:right w:val="single" w:sz="4" w:space="0" w:color="000000"/>
            </w:tcBorders>
            <w:shd w:val="clear" w:color="000000" w:fill="FFFFFF"/>
            <w:hideMark/>
          </w:tcPr>
          <w:p w14:paraId="52AA5DC2"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6CDBAB7F"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42F62032"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19986DE"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Depreciación</w:t>
            </w:r>
          </w:p>
        </w:tc>
        <w:tc>
          <w:tcPr>
            <w:tcW w:w="1318" w:type="dxa"/>
            <w:tcBorders>
              <w:top w:val="nil"/>
              <w:left w:val="nil"/>
              <w:bottom w:val="single" w:sz="4" w:space="0" w:color="000000"/>
              <w:right w:val="single" w:sz="4" w:space="0" w:color="000000"/>
            </w:tcBorders>
            <w:shd w:val="clear" w:color="000000" w:fill="FFFFFF"/>
            <w:hideMark/>
          </w:tcPr>
          <w:p w14:paraId="29D7E37E"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5A3F2187"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8E3C48" w14:paraId="1BAB85B0"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73DE412"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Amortización</w:t>
            </w:r>
          </w:p>
        </w:tc>
        <w:tc>
          <w:tcPr>
            <w:tcW w:w="1318" w:type="dxa"/>
            <w:tcBorders>
              <w:top w:val="nil"/>
              <w:left w:val="nil"/>
              <w:bottom w:val="single" w:sz="4" w:space="0" w:color="000000"/>
              <w:right w:val="single" w:sz="4" w:space="0" w:color="000000"/>
            </w:tcBorders>
            <w:shd w:val="clear" w:color="000000" w:fill="FFFFFF"/>
            <w:hideMark/>
          </w:tcPr>
          <w:p w14:paraId="1C637270" w14:textId="77777777" w:rsidR="009B66AA" w:rsidRPr="008E3C48"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2E29FBBE" w14:textId="77777777" w:rsidR="009B66AA" w:rsidRPr="008E3C48" w:rsidRDefault="009B66AA" w:rsidP="009B66AA">
            <w:pPr>
              <w:spacing w:after="0" w:line="240" w:lineRule="auto"/>
              <w:jc w:val="right"/>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0</w:t>
            </w:r>
          </w:p>
        </w:tc>
      </w:tr>
      <w:tr w:rsidR="009B66AA" w:rsidRPr="00450621" w14:paraId="6CC426F1"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E34665D"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Incrementos en las provisiones</w:t>
            </w:r>
          </w:p>
        </w:tc>
        <w:tc>
          <w:tcPr>
            <w:tcW w:w="1318" w:type="dxa"/>
            <w:tcBorders>
              <w:top w:val="nil"/>
              <w:left w:val="nil"/>
              <w:bottom w:val="single" w:sz="4" w:space="0" w:color="000000"/>
              <w:right w:val="single" w:sz="4" w:space="0" w:color="000000"/>
            </w:tcBorders>
            <w:shd w:val="clear" w:color="000000" w:fill="FFFFFF"/>
            <w:hideMark/>
          </w:tcPr>
          <w:p w14:paraId="5B47C4D1"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6B566741" w14:textId="77777777" w:rsidR="009B66AA"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42AFBA66"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C16CEFB"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 en inversiones producido por revaluación</w:t>
            </w:r>
          </w:p>
        </w:tc>
        <w:tc>
          <w:tcPr>
            <w:tcW w:w="1318" w:type="dxa"/>
            <w:tcBorders>
              <w:top w:val="nil"/>
              <w:left w:val="nil"/>
              <w:bottom w:val="single" w:sz="4" w:space="0" w:color="000000"/>
              <w:right w:val="single" w:sz="4" w:space="0" w:color="000000"/>
            </w:tcBorders>
            <w:shd w:val="clear" w:color="000000" w:fill="FFFFFF"/>
            <w:hideMark/>
          </w:tcPr>
          <w:p w14:paraId="520F4E85"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0442E44"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07A37113"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A8EB0C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Ganancia/pérdida en venta de bienes muebles, inmuebles e intangibles</w:t>
            </w:r>
          </w:p>
        </w:tc>
        <w:tc>
          <w:tcPr>
            <w:tcW w:w="1318" w:type="dxa"/>
            <w:tcBorders>
              <w:top w:val="nil"/>
              <w:left w:val="nil"/>
              <w:bottom w:val="single" w:sz="4" w:space="0" w:color="000000"/>
              <w:right w:val="single" w:sz="4" w:space="0" w:color="000000"/>
            </w:tcBorders>
            <w:shd w:val="clear" w:color="000000" w:fill="FFFFFF"/>
            <w:hideMark/>
          </w:tcPr>
          <w:p w14:paraId="7F206DF9"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1A27E5B1"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2DDB3729"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359B1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 en cuentas por cobrar</w:t>
            </w:r>
          </w:p>
        </w:tc>
        <w:tc>
          <w:tcPr>
            <w:tcW w:w="1318" w:type="dxa"/>
            <w:tcBorders>
              <w:top w:val="nil"/>
              <w:left w:val="nil"/>
              <w:bottom w:val="single" w:sz="4" w:space="0" w:color="000000"/>
              <w:right w:val="single" w:sz="4" w:space="0" w:color="000000"/>
            </w:tcBorders>
            <w:shd w:val="clear" w:color="000000" w:fill="FFFFFF"/>
            <w:hideMark/>
          </w:tcPr>
          <w:p w14:paraId="378C0CF0"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12D91A86"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54933A98"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4DDFE760"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Flujos de Efectivo Netos de las Actividades de Operación</w:t>
            </w:r>
          </w:p>
        </w:tc>
        <w:tc>
          <w:tcPr>
            <w:tcW w:w="1318" w:type="dxa"/>
            <w:tcBorders>
              <w:top w:val="nil"/>
              <w:left w:val="nil"/>
              <w:bottom w:val="single" w:sz="4" w:space="0" w:color="000000"/>
              <w:right w:val="single" w:sz="4" w:space="0" w:color="000000"/>
            </w:tcBorders>
            <w:shd w:val="clear" w:color="000000" w:fill="D3D3D3"/>
            <w:vAlign w:val="bottom"/>
            <w:hideMark/>
          </w:tcPr>
          <w:p w14:paraId="21BC32A8" w14:textId="66CCEB7B" w:rsidR="009B66AA" w:rsidRPr="00450621" w:rsidRDefault="00E90A09"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1,1598,180,856</w:t>
            </w:r>
          </w:p>
        </w:tc>
        <w:tc>
          <w:tcPr>
            <w:tcW w:w="1267" w:type="dxa"/>
            <w:tcBorders>
              <w:top w:val="nil"/>
              <w:left w:val="nil"/>
              <w:bottom w:val="single" w:sz="4" w:space="0" w:color="000000"/>
              <w:right w:val="single" w:sz="4" w:space="0" w:color="000000"/>
            </w:tcBorders>
            <w:shd w:val="clear" w:color="000000" w:fill="D3D3D3"/>
          </w:tcPr>
          <w:p w14:paraId="4BF01645" w14:textId="7ABD7E80" w:rsidR="009B66AA" w:rsidRDefault="00E90A09"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2,545,873,724</w:t>
            </w:r>
          </w:p>
        </w:tc>
      </w:tr>
    </w:tbl>
    <w:p w14:paraId="455BDEE0" w14:textId="77777777" w:rsidR="00802877" w:rsidRDefault="00802877" w:rsidP="00C50527">
      <w:pPr>
        <w:pStyle w:val="INCISO"/>
        <w:tabs>
          <w:tab w:val="left" w:pos="284"/>
        </w:tabs>
        <w:spacing w:after="0" w:line="276" w:lineRule="auto"/>
        <w:ind w:left="284" w:firstLine="0"/>
        <w:rPr>
          <w:b/>
          <w:smallCaps/>
        </w:rPr>
      </w:pPr>
    </w:p>
    <w:p w14:paraId="1D301644" w14:textId="77777777"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14:paraId="58D2F8F5" w14:textId="77777777" w:rsidR="00540418" w:rsidRPr="0073056A" w:rsidRDefault="00540418" w:rsidP="00C50527">
      <w:pPr>
        <w:pStyle w:val="Texto"/>
        <w:tabs>
          <w:tab w:val="left" w:pos="284"/>
        </w:tabs>
        <w:spacing w:after="0" w:line="276" w:lineRule="auto"/>
        <w:ind w:left="284" w:firstLine="0"/>
        <w:jc w:val="center"/>
        <w:rPr>
          <w:b/>
          <w:smallCaps/>
          <w:szCs w:val="18"/>
          <w:lang w:val="es-MX"/>
        </w:rPr>
      </w:pPr>
    </w:p>
    <w:p w14:paraId="30A5A912" w14:textId="77777777"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14:paraId="093F386E" w14:textId="77777777" w:rsidR="006942ED" w:rsidRPr="00DD29C2" w:rsidRDefault="009A6F30" w:rsidP="00DD29C2">
      <w:pPr>
        <w:pStyle w:val="INCISO"/>
        <w:tabs>
          <w:tab w:val="left" w:pos="284"/>
        </w:tabs>
        <w:spacing w:after="0" w:line="276" w:lineRule="auto"/>
        <w:ind w:left="284" w:firstLine="0"/>
        <w:rPr>
          <w:b/>
          <w:smallCaps/>
        </w:rPr>
      </w:pPr>
      <w:r>
        <w:rPr>
          <w:b/>
          <w:smallCaps/>
        </w:rPr>
        <w:lastRenderedPageBreak/>
        <w:object w:dxaOrig="1440" w:dyaOrig="1440" w14:anchorId="7CF3A5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0;text-align:left;margin-left:-24.75pt;margin-top:24.1pt;width:557.5pt;height:491.55pt;z-index:251659264">
            <v:imagedata r:id="rId14" o:title=""/>
            <w10:wrap type="topAndBottom"/>
          </v:shape>
          <o:OLEObject Type="Embed" ProgID="Excel.Sheet.12" ShapeID="_x0000_s2070" DrawAspect="Content" ObjectID="_1775578421" r:id="rId15"/>
        </w:object>
      </w:r>
    </w:p>
    <w:p w14:paraId="02BAADB2" w14:textId="77777777" w:rsidR="002A62AF" w:rsidRDefault="002A62AF" w:rsidP="006942ED">
      <w:pPr>
        <w:ind w:firstLine="708"/>
        <w:rPr>
          <w:lang w:eastAsia="es-ES"/>
        </w:rPr>
      </w:pPr>
    </w:p>
    <w:p w14:paraId="4EA645CD" w14:textId="77777777" w:rsidR="002C55F6" w:rsidRDefault="009A6F30" w:rsidP="006942ED">
      <w:pPr>
        <w:ind w:firstLine="708"/>
        <w:rPr>
          <w:lang w:eastAsia="es-ES"/>
        </w:rPr>
      </w:pPr>
      <w:r>
        <w:rPr>
          <w:b/>
          <w:smallCaps/>
          <w:noProof/>
          <w:szCs w:val="18"/>
          <w:lang w:eastAsia="es-MX"/>
        </w:rPr>
        <w:lastRenderedPageBreak/>
        <w:object w:dxaOrig="1440" w:dyaOrig="1440" w14:anchorId="2A260062">
          <v:shape id="_x0000_s2071" type="#_x0000_t75" style="position:absolute;left:0;text-align:left;margin-left:-45.6pt;margin-top:9.7pt;width:560.45pt;height:625.9pt;z-index:251660288">
            <v:imagedata r:id="rId16" o:title=""/>
            <w10:wrap type="topAndBottom"/>
          </v:shape>
          <o:OLEObject Type="Embed" ProgID="Excel.Sheet.12" ShapeID="_x0000_s2071" DrawAspect="Content" ObjectID="_1775578422" r:id="rId17"/>
        </w:object>
      </w:r>
    </w:p>
    <w:p w14:paraId="358FE3DE" w14:textId="6AC60C8D" w:rsidR="002A62AF" w:rsidRDefault="002A62AF" w:rsidP="005F52B3">
      <w:pPr>
        <w:pStyle w:val="Texto"/>
        <w:tabs>
          <w:tab w:val="left" w:pos="284"/>
        </w:tabs>
        <w:spacing w:after="0" w:line="276" w:lineRule="auto"/>
        <w:ind w:left="284" w:firstLine="0"/>
        <w:jc w:val="center"/>
        <w:rPr>
          <w:b/>
          <w:szCs w:val="18"/>
        </w:rPr>
      </w:pPr>
    </w:p>
    <w:p w14:paraId="045AB7AA" w14:textId="77777777" w:rsidR="00DD29C2" w:rsidRDefault="00DD29C2" w:rsidP="005F52B3">
      <w:pPr>
        <w:pStyle w:val="Texto"/>
        <w:tabs>
          <w:tab w:val="left" w:pos="284"/>
        </w:tabs>
        <w:spacing w:after="0" w:line="276" w:lineRule="auto"/>
        <w:ind w:left="284" w:firstLine="0"/>
        <w:jc w:val="center"/>
        <w:rPr>
          <w:b/>
          <w:szCs w:val="18"/>
        </w:rPr>
      </w:pPr>
    </w:p>
    <w:p w14:paraId="6C259AE1" w14:textId="77777777"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14:paraId="7BC4FD4B" w14:textId="77777777" w:rsidR="005F52B3" w:rsidRPr="0073056A" w:rsidRDefault="005F52B3" w:rsidP="005F52B3">
      <w:pPr>
        <w:pStyle w:val="Texto"/>
        <w:tabs>
          <w:tab w:val="left" w:pos="284"/>
        </w:tabs>
        <w:spacing w:after="0" w:line="276" w:lineRule="auto"/>
        <w:ind w:left="284" w:firstLine="0"/>
        <w:rPr>
          <w:b/>
          <w:szCs w:val="18"/>
          <w:lang w:val="es-MX"/>
        </w:rPr>
      </w:pPr>
    </w:p>
    <w:p w14:paraId="4F361D75" w14:textId="77777777"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6A14EB0A" w14:textId="77777777" w:rsidR="005F52B3" w:rsidRPr="00DD29C2" w:rsidRDefault="005F52B3" w:rsidP="00DD29C2">
      <w:pPr>
        <w:pStyle w:val="Texto"/>
        <w:tabs>
          <w:tab w:val="left" w:pos="284"/>
        </w:tabs>
        <w:spacing w:after="0" w:line="276" w:lineRule="auto"/>
        <w:ind w:left="284" w:firstLine="0"/>
        <w:rPr>
          <w:szCs w:val="18"/>
          <w:lang w:val="es-MX"/>
        </w:rPr>
      </w:pPr>
    </w:p>
    <w:p w14:paraId="3F89E129" w14:textId="77777777"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14:paraId="278FA568" w14:textId="3D12DF0A"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013AA1">
        <w:rPr>
          <w:rFonts w:ascii="Arial" w:hAnsi="Arial" w:cs="Arial"/>
          <w:sz w:val="18"/>
          <w:szCs w:val="18"/>
        </w:rPr>
        <w:t>marzo</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013AA1">
        <w:rPr>
          <w:rFonts w:ascii="Arial" w:hAnsi="Arial" w:cs="Arial"/>
          <w:sz w:val="18"/>
          <w:szCs w:val="18"/>
        </w:rPr>
        <w:t>4</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14:paraId="4CC95382" w14:textId="77777777" w:rsidR="003D0221" w:rsidRPr="00DD29C2" w:rsidRDefault="003D0221" w:rsidP="00DD29C2">
      <w:pPr>
        <w:pStyle w:val="Texto"/>
        <w:tabs>
          <w:tab w:val="left" w:pos="284"/>
        </w:tabs>
        <w:spacing w:after="0" w:line="276" w:lineRule="auto"/>
        <w:ind w:left="284" w:firstLine="0"/>
        <w:rPr>
          <w:szCs w:val="18"/>
          <w:lang w:val="es-MX"/>
        </w:rPr>
      </w:pPr>
    </w:p>
    <w:p w14:paraId="62957C10" w14:textId="77777777"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14:paraId="1BC569DA" w14:textId="77777777"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14:paraId="0F354394" w14:textId="77777777" w:rsidR="00420656" w:rsidRDefault="00420656" w:rsidP="00420656">
      <w:pPr>
        <w:spacing w:after="0"/>
        <w:jc w:val="center"/>
        <w:rPr>
          <w:rFonts w:ascii="Arial" w:hAnsi="Arial" w:cs="Arial"/>
          <w:sz w:val="18"/>
          <w:szCs w:val="18"/>
        </w:rPr>
      </w:pPr>
    </w:p>
    <w:p w14:paraId="08F79F7F" w14:textId="77777777" w:rsidR="00420656" w:rsidRDefault="00420656" w:rsidP="00420656">
      <w:pPr>
        <w:spacing w:after="0"/>
        <w:jc w:val="center"/>
        <w:rPr>
          <w:rFonts w:ascii="Arial" w:hAnsi="Arial" w:cs="Arial"/>
          <w:sz w:val="18"/>
          <w:szCs w:val="18"/>
        </w:rPr>
      </w:pPr>
    </w:p>
    <w:p w14:paraId="059E042C" w14:textId="77777777" w:rsidR="00420656" w:rsidRDefault="00420656" w:rsidP="00420656">
      <w:pPr>
        <w:spacing w:after="0"/>
        <w:jc w:val="center"/>
        <w:rPr>
          <w:rFonts w:ascii="Arial" w:hAnsi="Arial" w:cs="Arial"/>
          <w:sz w:val="18"/>
          <w:szCs w:val="18"/>
        </w:rPr>
      </w:pPr>
    </w:p>
    <w:p w14:paraId="09CF0282" w14:textId="77777777" w:rsidR="00420656" w:rsidRDefault="00420656" w:rsidP="00420656">
      <w:pPr>
        <w:spacing w:after="0"/>
        <w:jc w:val="center"/>
        <w:rPr>
          <w:rFonts w:ascii="Arial" w:hAnsi="Arial" w:cs="Arial"/>
          <w:sz w:val="18"/>
          <w:szCs w:val="18"/>
        </w:rPr>
      </w:pPr>
    </w:p>
    <w:p w14:paraId="2B19A75A" w14:textId="77777777" w:rsidR="00420656" w:rsidRDefault="00420656" w:rsidP="00420656">
      <w:pPr>
        <w:spacing w:after="0"/>
        <w:jc w:val="center"/>
        <w:rPr>
          <w:rFonts w:ascii="Arial" w:hAnsi="Arial" w:cs="Arial"/>
          <w:sz w:val="18"/>
          <w:szCs w:val="18"/>
        </w:rPr>
      </w:pPr>
    </w:p>
    <w:p w14:paraId="67FBE95D" w14:textId="77777777" w:rsidR="00420656" w:rsidRDefault="00420656" w:rsidP="00420656">
      <w:pPr>
        <w:spacing w:after="0"/>
        <w:jc w:val="center"/>
        <w:rPr>
          <w:rFonts w:ascii="Arial" w:hAnsi="Arial" w:cs="Arial"/>
          <w:sz w:val="18"/>
          <w:szCs w:val="18"/>
        </w:rPr>
      </w:pPr>
    </w:p>
    <w:p w14:paraId="7F7A8338" w14:textId="77777777" w:rsidR="0070431B" w:rsidRDefault="0070431B" w:rsidP="00C50527">
      <w:pPr>
        <w:pStyle w:val="Texto"/>
        <w:tabs>
          <w:tab w:val="left" w:pos="284"/>
        </w:tabs>
        <w:spacing w:after="0" w:line="276" w:lineRule="auto"/>
        <w:ind w:left="284" w:firstLine="0"/>
        <w:jc w:val="center"/>
        <w:rPr>
          <w:b/>
          <w:szCs w:val="18"/>
          <w:lang w:val="es-MX"/>
        </w:rPr>
      </w:pPr>
    </w:p>
    <w:sectPr w:rsidR="0070431B" w:rsidSect="00FF1630">
      <w:headerReference w:type="even" r:id="rId18"/>
      <w:headerReference w:type="default" r:id="rId19"/>
      <w:footerReference w:type="even" r:id="rId20"/>
      <w:footerReference w:type="default" r:id="rId21"/>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DD77D" w14:textId="77777777" w:rsidR="00FF1630" w:rsidRDefault="00FF1630" w:rsidP="00EA5418">
      <w:pPr>
        <w:spacing w:after="0" w:line="240" w:lineRule="auto"/>
      </w:pPr>
      <w:r>
        <w:separator/>
      </w:r>
    </w:p>
  </w:endnote>
  <w:endnote w:type="continuationSeparator" w:id="0">
    <w:p w14:paraId="05809F56" w14:textId="77777777" w:rsidR="00FF1630" w:rsidRDefault="00FF1630"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DE62F" w14:textId="315407ED" w:rsidR="00F60FD7" w:rsidRPr="004E3EA4" w:rsidRDefault="00F60FD7"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14:anchorId="37C911D3" wp14:editId="37BD90F6">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426C20AC"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1945B9" w:rsidRPr="001945B9">
          <w:rPr>
            <w:rFonts w:ascii="Arial" w:hAnsi="Arial" w:cs="Arial"/>
            <w:noProof/>
            <w:sz w:val="20"/>
            <w:lang w:val="es-ES"/>
          </w:rPr>
          <w:t>2</w:t>
        </w:r>
        <w:r w:rsidRPr="004E3EA4">
          <w:rPr>
            <w:rFonts w:ascii="Arial" w:hAnsi="Arial" w:cs="Arial"/>
            <w:sz w:val="20"/>
          </w:rPr>
          <w:fldChar w:fldCharType="end"/>
        </w:r>
      </w:sdtContent>
    </w:sdt>
  </w:p>
  <w:p w14:paraId="62447935" w14:textId="77777777" w:rsidR="00F60FD7" w:rsidRDefault="00F60FD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A476C" w14:textId="05497E75" w:rsidR="00F60FD7" w:rsidRPr="003527CD" w:rsidRDefault="00F60FD7"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14:anchorId="7E6F07E1" wp14:editId="048E2CC4">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0384D629"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1945B9" w:rsidRPr="001945B9">
          <w:rPr>
            <w:rFonts w:ascii="Arial" w:hAnsi="Arial" w:cs="Arial"/>
            <w:noProof/>
            <w:lang w:val="es-ES"/>
          </w:rPr>
          <w:t>1</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66DF7" w14:textId="77777777" w:rsidR="00FF1630" w:rsidRDefault="00FF1630" w:rsidP="00EA5418">
      <w:pPr>
        <w:spacing w:after="0" w:line="240" w:lineRule="auto"/>
      </w:pPr>
      <w:r>
        <w:separator/>
      </w:r>
    </w:p>
  </w:footnote>
  <w:footnote w:type="continuationSeparator" w:id="0">
    <w:p w14:paraId="102688A0" w14:textId="77777777" w:rsidR="00FF1630" w:rsidRDefault="00FF1630"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078E5" w14:textId="77777777" w:rsidR="00F60FD7" w:rsidRDefault="00F60FD7"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FFE8DAB" wp14:editId="738DBE45">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AC06" w14:textId="77777777" w:rsidR="00F60FD7" w:rsidRDefault="00F60FD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F60FD7" w:rsidRDefault="00F60FD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35C92" w14:textId="3260AB3F" w:rsidR="00F60FD7" w:rsidRPr="00DE4269" w:rsidRDefault="00F60FD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2024</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FE8DA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XJ86ZAwAA6QkAAA4AAABkcnMvZTJvRG9jLnhtbMxW227bOBB9X2D/&#10;geB7I8mWLEeIXHSTTRCguw2a9gMoipKISiSXpCynX98hKdtxUqBBihZrwDJvM5w5c+ZYF293Q4+2&#10;TBsuRYmTsxgjJqisuWhL/PnT9Zs1RsYSUZNeClbiB2bw282ff1xMqmAL2cm+ZhqBE2GKSZW4s1YV&#10;UWRoxwZizqRiAjYbqQdiYarbqNZkAu9DHy3ieBVNUtdKS8qMgdWrsIk33n/TMGo/NI1hFvUlhtis&#10;f2r/rNwz2lyQotVEdZzOYZBXRDEQLuDSg6srYgkaNX/mauBUSyMbe0blEMmm4ZT5HCCbJH6SzY2W&#10;o/K5tMXUqgNMAO0TnF7tlv67vdHqXt1pQGJSLWDhZy6XXaMH9wtRop2H7OEAGdtZRGExzddJlgGy&#10;FPbSfLWAsceUdgD8MzPa/X0wzFZZvAqG+fkyD4bR/troJJhJAT3MEQHzcwjcd0QxD6wpAIE7jXhd&#10;4gVGggxA0suR1FqimiELeUqUuZRcCHDWQYXs7i8JySe+5Ea9l/SLQUJedkS07J3WcuoYqSHIxFlC&#10;KgfT4Mc4J9X0j6zhNjJa6R19F+/kPN5Dusd8uUrXcZ7N0OVpHnvMD9CRQmljb5gckBuUWEMb+BvI&#10;9r2xLqLjEVdgIa953/uy9eJkAQ66FZ+BCzqEb3fVbkakkvUD5KJl6CxQAhh0Un/FaIKuKrH5bySa&#10;YdTfCsDjPElT14Z+kmb5Aib68U71eIcICq5KbDEKw0sbWndUmrcd3BQqIOQ7wLDhPjUHdohqjht4&#10;s7lQnBbwnVsIRs8I9GOpASs7ulyCXA0v8jEQ/WVUb6DbFbG84j23D165oCAuKLG949QB6yZHLkJj&#10;BC7eDqRlAqWOSPsjwQBqyOkT6hkFpd7T7vR45KYnt1U9V67wruJuPOcFED9Rl+9AE5TrStJxYMIG&#10;KdashxSlMB1XBupasKFiNdDvtvZ9QAqj6UcI0IlxlgFvvSCvknUOp0E+lss1sLoq8TpPgN+ekMZq&#10;ZmnnYmwgVmcO68DLw4ZP7JiLS/NF/XVoo+eqlkBI6dxgK+g1oGm4dN+ir20wH2toJD+EYENL/XJx&#10;A4gDoT45GQH5QrnL6ZE0/R5VW+ZxtlgAtoD6cp0E6SLFXtuSOEsW6yRo22rpJj8HvZE9r/csN7qt&#10;LnuNtgQYeO0/s/eTYy8WQf+34bl9VJ3/vxb6v1Z4n/BtNL/7uBeWx3Ovncc3tM03AAAA//8DAFBL&#10;AwQKAAAAAAAAACEAYx6KoR4SAQAeEgEAFQAAAGRycy9tZWRpYS9pbWFnZTEuanBlZ//Y/+AAEEpG&#10;SUYAAQEBANwA3AAA/9sAQwACAQECAQECAgICAgICAgMFAwMDAwMGBAQDBQcGBwcHBgcHCAkLCQgI&#10;CggHBwoNCgoLDAwMDAcJDg8NDA4LDAwM/9sAQwECAgIDAwMGAwMGDAgHCAwMDAwMDAwMDAwMDAwM&#10;DAwMDAwMDAwMDAwMDAwMDAwMDAwMDAwMDAwMDAwMDAwMDAwM/8AAEQgGGAf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o7q5W0t3kb7qAsceg5rgf2Yf2mfDf7W3wf07xx4TGof2HqkkscH2&#10;2HyZsxuUbK5OPmU96nmV+XqZSrU1UVJv3mm0urStd/K6+89Coooqj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84+Pv7Rln8E5tE0m10268SeL&#10;/FU5tdE0O0cJNeso3PI7t8sUKDl5G4GRwSQKzo9G+NWtWonbxJ8OdBmcZ+xpoN3qSw+xmN1Dv+oj&#10;WgD1iivDfA3xN+Lnhn4/2XhPxzo/hO/8O6npl1e2uv6GtxGzSwGLMLwOzlGIkyMMc4OCcGut+GH7&#10;VHgv4xfELxB4V8P32pXWu+FZFi1a3l0e8thYs27arvLEqZO1sc844oA9FormPiz8XtD+CHge+8Se&#10;JJ7uz0XTUMt1cwWM92LdByXZYUdgo7kjAp+m/FfSNX+G8Piy3/tKXRbi1W8jcaZc+e8RAIYQbPN5&#10;U5+5nHNAHSUV4r4a/wCCgPwz8Z+CV8SaPeeKtU0Ft+2+tPB+rzQnYSr/ADLbH7pUg+mDXp7/ABB0&#10;uLwAfFD3Jj0NbD+1DcNE6kW/l+ZvKY3j5OduM9sZ4oA26KzvCXizTfHfhmx1nR7231LS9ShW4tbm&#10;B90c8bDIYH3rnvjL8e/DXwC0e21DxRcahZ2N1cRWkc0Gl3V4nmyuEjQmGN9pZiAM4ySKAOyorgfH&#10;/wC0l4Z+GuqafY6kviGS81O2N5FBYeH7/UJY4gcbpVghcxZPAD7SSDgcHHJ6f/wUD+GereLNQ0G1&#10;uvF1xrWkxxy3thH4N1hri1WQAozoLXKhgcgkc0Ae1UVyfwj+NWgfG/R9QvfD8uoSRaXetp12l7pl&#10;zp80E6xxyFDFcRo/3JUOduDu4PWtLR/iHouveM9Y8PWeoW9xrWgxwS6haIf3lqs4YxFv94IxH0+l&#10;AG1RRTZH8tc4PAzwM0AOoryG0/bk+Huo+O9b8MWt14mvNf8ADZQanZW3hTVZpLLeMpv225A3Dkc8&#10;gHFXfCv7Znw38WeM4fDieIl0vxBckLBp2s2NzpN1cE8AJHdRxs5PbbnNAHqNFVda1iPQdMmu5kuZ&#10;IoV3MtvbvcSH/dRAWY+wBrx/wl/wUA+Gnj7wk2vaHeeKtY0dXeM3dl4P1eeIMhwwytseR39KAPaq&#10;Kz/CXimx8ceFtN1rTJWn07VraO8tZGiaJpIpFDKSrAMuQRwwBHcCrl5dLZWskzLIyxqWIjjMjED0&#10;Vckn2AyaAJKK8/8Agn+054O/aGu9bh8J399qDeHLx9P1Ey6Vd2i2twmN0RaaNAXGRkAkivQKACis&#10;XXPiFo3h3xdoug3moW9vrHiITnTrVyd92IFDy7f91WBP1raFABRQelfNfxj/AGj/AB/4H/bq+HPw&#10;v0268LnQ/H1re3hubjTJWurFbaOWVkBE4V9yxgAkDBJOD0oA+lKKaCRH6tivm3wz+0d8QL//AIKI&#10;aj8Ibq68Lv4f03w0viY3kemTLdyoZYovI/15QHdITvweB0oA+lKKKxfDXxC0bxfrut6bpuoW95fe&#10;G7lbPUoYz81pK0ayqrfVHU8ZHUdQQADaoorz3xf+1F4K8F+IbjSJ9UudQ1az/wCPmz0jTbrVp7X0&#10;8xLWOQxn2bFAHoVFeY+Df2wvh9458f2fhW01q6tfE2pB2tdL1PS7vTbq5CIzsUjuIkLAKjEkDGAa&#10;tfE/9qbwX8HfH/h3wv4gvtSs9c8WSmHSLePR7y5W/ddu5UeKJkyu5cgtwDzigD0SiuQ+Mvxy8OfA&#10;DwJc+JvFV1eafodkoa4uotPuLpbcEhQXEKMyjJAyR3rl7L9tLwLf2+kzI/ixbXXJII7K6k8JarHb&#10;SmdlWImVrYIqsXXDMQPmHNAHq9FYPxE+J2hfCbw6NW8R6lb6Tpv2mC0NzPny1kmkWKMEgcAu6jJw&#10;BnJIGTW6j71DKQysMgjvQAtFcP4x/aH8MeAviTovhLU5tUi13xEzrpsMej3c0d2UUO+2VImj+VSC&#10;ctx36VT+Of7Uvg39m9dLbxhfajpqa1dJZWLw6ReXiXFw+dkIMETjzG2nC9TigD0SivJfEP7bXw/8&#10;HQrNrd34j0K0PW71Pwvqlnax/wC9LJbqi/iwr0bwf410n4g+HrbVtD1Kx1jS7xd8N3ZzLNDKPZlJ&#10;B/pQBqUVl+NPGWm/D3wpqOuaxdR2Ok6Tbvd3dxJnbDEilmY4yeAOgBNXdM1KDWdPt7u1mjuLW6jW&#10;WKVDuWRGGVYHuCCDQBPRRRQBX1fnSrn/AK5P/wCgmvkP/ghEM/8ABNXwX/19X/8A6VyV9eav/wAg&#10;u4/65P8A+gmvkP8A4IRf8o1PBf8A19X/AP6VyVzS/wB4h6S/OJ4OJ/5HOH/691f/AEqkfYlFFFdJ&#10;7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QelFB5F&#10;AHyD8LNebxx/wWU+J0OpfO3grwbZWOkI/Iijn+zTzOg7EvJtJHrivr6vjf8AbN+Fni79nv8Aap0P&#10;9ojwJo914ktorH+xvGWjWa7rq6suMTRr1YqFTjBIMaHpnHv3wW/a6+HXx88Pxah4b8WaPdb1zJaT&#10;XC295bHuskLkOpHuMccE0wPRJLGKa6jmeONpoc+W5UFkzwcHtmvlP9hz/k+39qr/ALDGi/8ApPc1&#10;7lbftFeHdf8AjPY+CdD1TTda1RrOfUNQW0uFm/s+FNiqXKkhWd3AAPJAY9q8D+Gus2/7L/8AwUk+&#10;KFn4mmj0nR/jDb6fqeg6jct5dtc3NtG0ctt5h+US5kYhSRkAY6igD1r/AIKEH/jB34r/APYsX3/o&#10;lq6r4S8fs1+Gf+xZtf8A0lSvN/8AgoB44tfEv7PutfD/AEG4ttW8YfEKD+xNM063kEkrCYhJZ3Az&#10;sijjLszthRtAzkivYoNEt/BfwxXTY3H2bSdLFsrNx8kcW0E+nApAfHf/AASx/aT+Hvwy/YQ0XT/E&#10;3izQtKuLO71N7m3urgK6I15O3K9eVOcdwa+oPj8bY/sv+MjZqiWn/CM3hgVE2qqfZn2gDsMY47V4&#10;H/wSA1fQdZ/4J66Lp99d6ZNA17qkV3BNKmAr3kzYdSeMowPPY5r3P42+IdN8R/sn+MtQ0u4in0ub&#10;w3fG3mQ/u3jEEgBU91OOD0I5qnuB8mfCHxXrH/BMnSvCeqXR1DWPgD48srO7kkYtNP4Kvp4UZuOS&#10;bZ2OcDoSe4+f6E/bu1Gx8WfsxaXqdjdQ3llN4n8NXVtPA4eOZH1iyCsCOCpVsjHtXUfAnw3pPxY/&#10;Y68GaXrVjZ6ppOseFbGC6tZkEkMyG2jBBB/yDzXxn8W/AfjL9hy3sfhXcJqPij4QeLvFOjTeF9Td&#10;y83hu4j1S2nNnMf+eZEfyHgE9BksKNwP0YjsooruS4WONZpVVHkCjc6rkqCepA3Ngdtx9a+VP2e/&#10;+Usn7QX/AGA9C/8ASZK+selfJP7O97DJ/wAFbP2go1kjaQaHoeVB54tos/luX8xUgfUur3+n+DdI&#10;1PVrrybO1hje9vZ8BRtSP5nY+yIBk9lHpXwj8NdV1T4FftTfDf4waxNdw6V+0WbnT9YhmY7dOklk&#10;83SUIP3SITHHz0w+cE19Dft5a03ijwj4c+FtjctDq3xY1aPR28qTbNFp8YM99IPT/R43TPrIO9cZ&#10;+2H/AME+dN8Z/s065aeH9Z8cXGuaBajUtBhvfEt7eQRXNsN8SrFLIyAkKUBxxu4xVID6sXpRXlf7&#10;Fv7Qdt+05+zV4V8WxyRm+vLRYNTiB+a3vI/kmRh1HzqSAezA969UzUgfJ37JX/KS79pr/rloH/pP&#10;LXr/AO13+zBoP7VXwa1Tw/q1pG2oLA82k36ri4027CkxSxv1XDAZAPIyDXh/7Kfi3S7P/gqB+0nZ&#10;zahZw3V1DohiieVVaXy4HD7Qeu3eucdNwr3T9of9pLR/g54PuVt7hNW8VahC8OiaJYsJ77UrojEa&#10;rGuSF3FdznCqMkkVXUDhf+CW/wAcdY+PX7HPh/UPEFw95ruj3Fxot7cuSzXLW7lVdierGMpk9zk9&#10;68g/4JSftG+A/hf+yFNY+JPFeiaPdW+v6nNLDd3Ko6oZiQcHnBFfQf7B/wCz1cfsufsv+H/DGpSR&#10;trC+bqGqujZT7VO7SyAHoQm4JnuEB7147/wRx17RNT/Ypntbi802aNvEGpieGWVD8rS7huUnoVIP&#10;PY0gPrjwxc2N54b0+bS1jXTZreN7QRx+WgiKgptXAwNuMDAxV6snwPrOl694Vs7jRJoZ9JCmG2eE&#10;5jZI2Mfynuvy8EcEYIyDWsTikB8n/wDBLD/j4+Pf/ZUtU/8AQIa+sK+O/wDglf400n+2/j7ZtqVm&#10;tyvxL1G58tplVvLYRqrgE9CyMM+1e5fHD9p/Qfhl8D/HXiu0vba+/wCEQD2ZCSApJfGOMxQAjgkt&#10;NEpx0JI6imB8sftoz6x4r8beIPjpoUt1ND8AvEFlpthbxsfLu4Imzq/HfJnSMnsLZvw+5/Bviyx8&#10;d+EtL1rTZluNP1e0ivLaVTxJHIgdT+IIr59+FX/BPnR4PgFZ+H/Emu+O5L7WNPdtfht/E17BZ3V3&#10;cqXuyYFkEe1pHfI24Oec81j/APBLLxxd+G/BHin4N69cbvEnwh1abS1EjfvLnT3dntpgD/DtJUY6&#10;AJ6imB9WV8V/tj6lq2kf8FU/2fbjQ9Lt9a1SPRta8mznvfscc2bWcNmXY+3Clj905xjjOR9qZyK+&#10;Of2ltVt4P+CwH7OsbzRq66NrIIJ6b7W5VPzYED3pID3EfEf4tY/5Jb4f/wDCzH/yJXz18E9X17W/&#10;+Cz/AImn8RaLa6BqP/CsAv2W31H7cmwX1rhvM8tOTzxt4x1r7a7V8c+E9Vtz/wAFx/E0PnJ5n/Cs&#10;Ug2553/a7aTb9dnP0poD6p+Jvj6x+Fnw91rxJqcnl2Gh2Ut7O3fbGpbA9zjA9yK+Lf2cLTWf2Uv2&#10;xvCd94kuLhYf2jtFa91UTOWS015Ge48pf7oEcwiUd8D8Pa/23Hi+L+v+Bfg3HcSIPHmo/bdbEExj&#10;li0myHny8g5XzJVhjBH95vQ1wP7fH7Fmz9n288WeF9a8cah4u+Hs0fiTRxqfiO91GNHtmEkm2OaR&#10;gGMatggZyAPYiA9T/wCCinx8v/2bP2PPGXirSX8nVobZLOxlHWCad1hWT6rv3D3Artf2bfhHp3wS&#10;+DOhaDp8Y3Q2qS3ly3zS3104DTTyMeXd3LMWOTz7V5f8TNG0/wD4KUf8E9p49GuYI5PGejRXVqxb&#10;ctrfJtkET+m2ZCjenJqh+xT+2ppviLwfYeA/iLMngv4peF4E0/UtL1dxbNfmMBFuIHfCyq6gN8pJ&#10;yT1GCToB734n+G+l+LvFfhvWry3RtQ8K3ct5YTbRvjaS2mt3GcZ2lJmyB1IX0r5r/bx/5PW/ZW/7&#10;GLU//SeGvoLWPjh4e03x5oHhmHU7G+1rxDLKsFpBco8scUcMkrzMoJIQbAuT/E6ivnf9ve/htv22&#10;v2VUkkVHbxDqZAJx/wAsbdf5sB9TRHcDvf8AgqF/yYH8UP8AsEf+1Y6P2ev2lvhrqHwO+HPh+48V&#10;eH7rUrrSdKsY7DzVllkufKiCoEGTuDgduCM8YzTP+CpFzHb/ALAPxOaR1UNpQQEnqTNGAPxJre+D&#10;XjHwlF+yZ4D1LVtQ0iSw0vw9pl35rzI3lSRQRMpXnO4OoAA5J474pdAMP/go94U0/wAefs3waHq0&#10;ck2l634o0HT7qNH2M0c2qW0bYI6HDda83+Afxx139iL4raf8FfitqE174d1F/K8CeLrknbeRZwtl&#10;cseFlQFVBOB0HQqa9N/4KH6kuj/AXS7lmjXyPGXhyQbzgHbq9q38h+Qruf2k/wBnDwz+1N8KdQ8J&#10;+J7UTWl4u6C4QDz7CcD5JomP3XU/mMg5BNAHG/Hy1U/tefAqfncJ9aQemDZA/wBK8/8A+Csf/Iq/&#10;Bv8A7Kfo3/oUlee/BbXviJ4A/a7+FXwm+JcFzq2oeD5dTn0LxSCTFr2nNZOo35yfOjIVWyc469mb&#10;tv8Agr5rln4f8EfCC5vbiK1t4PiVpM0kkjbVRE8xmYn0Cgkmn1A+tr+wh1Ozkt7iGK4t5lKSRyKG&#10;SRSMEEHgg+hr4x+Cegf8Mcf8FO9Q+G2gs9v4B+KGhyeIbHSgx8nS72It5nkr0RWCScDHVR/CK+vd&#10;W8e6Homiyaleazpdrp8Kea9zNdIkKrjO4uTjHvmvnf4NeHZP2kf23NQ+MkUNxH4N8L6F/wAI34Zu&#10;Z4mj/teR5C9xdRq2D5IyUViMPkkZHNSB0/7a2lx/Gc+Ffg/51xHF8QLqSXWTA+2SLSrVfNmOe2+U&#10;28X0kP0OH/wS8+I1/q/wFvPAfiCbd4q+E2pzeFtQVs75I4T+4l/3WjIAP+waz/hz8PbH9rv9on4g&#10;ePrnWPEVnpXhy4HgzQJdF1q405pY4Nsl45aB1LK1y23BOD5APpXGN4Ytv2Df+Cjfh+8jv9VfwZ8b&#10;tPOlX11quoS3jx6vb5aF3llZmO9Ska5P8bdhxXkB9r0UA5FFSBX1f/kF3H/XJ/8A0E18h/8ABCL/&#10;AJRqeC/+vq//APSuSvrzV/8AkF3H/XJ//QTXyH/wQi/5RqeC/wDr6v8A/wBK5K5pf7xD0l+cTwcT&#10;/wAjnD/9e6v/AKVSPsSiiiuk94+CPjb8ZP2g/wBpb9urxd8Ifhprlj4J8LeDxbNqOtx2gkmhSWCO&#10;TLM2SXZnKqibchSSeCR1+rf8Ev8A4gX+js0f7UHxkXWsZWY6lMtqHx/zyWUEL7Bq+jPhl8Eofh38&#10;UviB4mE0c9x451G2u2Aj2tAkNpFAqE/xfMjt7b67yq5gPyp8Q/tq/tCf8EwPjbZ+Gvipff8ACxvC&#10;d7+8t7qc7pL23BAZ4JyNwkXI3JJu5I7EMf0z+EnxU0X42/DbRvFfh27W+0bXLZbm2lAwSD1Ujsys&#10;CpHYgivkj/gvJ8PrPxN+xbFrcsSfbvDet20lvKQNwSbdE6A+h3ISB/cFU/8AggH4pvNd/Y41iyuJ&#10;Gkt9F8TXFtagkny0aCCUge2+Rj+NHS4H2n4z8Y6b8PvCmoa5rF3DYaVpNu91d3EpwkMaAszH8B06&#10;mvh74b/GH4wf8FSfFmtXfgvxJe/CP4P6PctZw6lZxbtX1tx12uSPLwME7SNm4DLnOKP/AAX2/aCu&#10;vB/wZ8N/DvTbho7jxpdG4v1RsM9rAVKofZpSp/7Z19a/sb/Bi1/Z/wD2YvBPhW2hWJ9N0mA3RVce&#10;bcugeZz9ZGY/lRsB8Z/tTfsxftCfsXeGbj4g/Dv41eOvHWmaKv2jUtK126e8kjhHLyhJGZJFH8QC&#10;qwHIzzj3/wD4Jr/8FDtP/bl+Ht0l7b2+k+NdBCjVLCJj5cyHhbiLPOxjkEEkqeCSCCfpa7tIr62k&#10;hmjjmhmUo6Ou5XUjBBB4II7V+LvhSST/AIJu/wDBXdtNtXe18O/2ytkybsI+m3u0oD6iPzEPP8UV&#10;G4H7TVzPxZ+MXhn4GeC7rxB4t1qx0PSLNcyXFy+0E44VR1dj2VQSewrpj0ry3xV+x74K+Ivxb/4T&#10;LxXaXfi6+t9v9n2WsTfatN0jAAJt7Yjy1ZiNxZgzZ7jAAkD81/26/wDgtf4u+Jl5ceH/AIYLqHgv&#10;w9njVmzFqmoL2ZD/AMsUP+z85wPmHIr9ZvA15NqHgnR7i5kM1xPYwySyEAGRzGpJ445OTxX5Jf8A&#10;BwRp1vpv7Ung1beCG3X/AIROMbY0CjAu7kDgeg4r9c/DEaw+GtPRFVVW2jCqBgABRVMC8elfD37a&#10;/wAf/jp4x/bN034J/CC607Qo7jRotWv9Xe3V5bWJndXkZ2DBUXaoAVdzM2M819wmuC0T4Jw6V+0Z&#10;r3xAaaOSfWNEs9GSLy/mhEMs8jHd6N5icf7H0qQPnZv+CZHxD1fSfM1T9qD4wPrDAMZLO/ktrRX/&#10;ANmFZeB9CK+cvjB8eP2mP+CU/wAR9LHirxRJ8UfAupyFLa61PdKLoDlozIxMsMwXkAsynr82CB+q&#10;eMivmn/grr8P7Lx9+wJ48+1RRtNosEOqWkhA3QyRTISVJ6ZQuv0c1V+4Hq37MP7Rnh/9qr4M6T40&#10;8NyMbPUk2zQSH97ZTrxJC/8AtKeM9CMEcEV6BX5rf8G5/iq8vfCXxV0WSRm0/T7rTLyBMnCSTLdL&#10;IR9RBH+VfpTUs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K5NcX4w/Zt+HfxCvGuNf8AAfgvXLh+Wl1DRLa5&#10;du/JdCa7SigDn/A/wn8LfDKKSPw34b0Hw+koAddM0+K0DgdMiNRmrfi/wNovxB0htP17R9L1vT5D&#10;lra/tUuYW+qOCP0rVooA5rwJ8GfCHwuaVvDPhXw54dacYkOmaZDaeYPfy1GfxrZ1rQLHxLpc9jqV&#10;na6hY3S7Jre5iWWKVfRlYEEexq5RQB5nH+xd8HYUZV+FHw1VX+8B4Yshu+v7quxvfhr4d1LwfF4e&#10;udB0a40CCJYI9Nkso2s441GFQRFdgUDgADAFbdFAGV4Q8C6L8P8ASV0/QdI0vRbFTuFtYWsdtCD6&#10;7EAHYdu1W9Y0Ky8RWf2fULO1vrfekvlXESyJvRg6NhgRlWAYHqCAeoq1RQAEZFcrpnwL8E6J4rk1&#10;6y8H+F7PXJWLvqMGlQR3bscZJlCByTgd+wrqqKAOb1L4OeEda8Ww6/eeF/Dt3rlswaHUZtNhku4i&#10;OAVlK7xx6GuiliWaNlZQysMEEZBFOooA5fwD8EvBvwpnuJPC/hPwz4bkusmdtL0uCzabPJ3GNV3d&#10;B1rp2Xf1pa8m+Kf7X+i/CP4taD4J1Dw/4sute8UrM2jR2VrDNHqXlLvk2N5oClVGSJNn40Aaeofs&#10;f/CfVddk1S6+GXw/uNSlcySXUnh60aWRj1ZmMeWPucmui8GfB7wn8OJ5JPDvhfw7oMkwxI2nabDa&#10;s49CUUZ/GuL8H/tk+EfEnxai8B6jDrvhPxjdRGe00vXbE2r38YBJaCQFopcbTwrk8Hjg16tvzQBB&#10;qmjWuuadNZ31tb3lncqUlgnjEkcqnqGVgQR7GvPU/Yw+D0e7b8Kfhsvmfex4Zsvm+v7rmrnxM8d+&#10;NdN1yzsPB/guPWl8+MX1/qGpJYWtvCSC/ljDSSybemECZPLcEV327AoAqeHvDun+EdDtNL0qxs9N&#10;02wiWC2tLWFYYLeNRhURFAVVA4AAAFWLuziv7aSGeOOaGVSjxuoZXUjBBB4II7U/fijfQB5u/wCx&#10;r8IZLuS4b4V/Dhp5iWeQ+GrLe5PJJPl5OfetJf2aPhynh+HSV8A+C10m3kaaKyGh232eN2OWdY9m&#10;0Me5Aya7fNAORQBFZWMOm2kdvbxRwW8KCOOONQqRqBgKAOAAOMCubHwO8Fr48m8VL4R8ML4nuCGl&#10;1caVB9vkIAAJn2+YcBVAyeMD0rp99LuoAULgVyPiD4A+BfFniT+2dV8F+E9T1jKn7dd6RbzXOV5X&#10;94yFuO3PFdduoBzQBHbWkdnaxwQxpDDCoRERdqooGAABwAB2rkj+zx4BbxO2tnwR4ROsu/mNfnR7&#10;f7Uz4xuMmzdnHGc12O7migDm/wDhT3hIeL18Q/8ACL+Hf7fViy6n/ZsP2wE9T5u3f+tb19YQapYz&#10;Wt1DFcW1whililQOkqEYKsDwQQSCDwRU1eM/E/8AbY0T4VfHDSvh7eeFvG1/4m16CW60yGws7eaO&#10;/ijDl3RvPGMBGJDBTgdOaAPQvh/8HPCPwmtZIfCvhfw74ZhmOZI9K02GzVz7iNVB/Gn+OvhJ4V+K&#10;NssPibwz4f8AEUKDCpqmnQ3ir9BIpFcp4O/aag8U/Eix8L3Xg3x54dvtSt5rm3n1XTo4rWRYtu8e&#10;Ykrjd8y/L1Oa9L3UAcn4B+AfgX4U3TT+F/BfhPw3NIpRpNK0i3s3YHqCY0U4NS+Lfgh4L8fa5Dqe&#10;u+EfDGtalbY8m7v9LguZ4sEEbXdSwwQDwe1dNv4pQ2RQBh+Lvhf4b+IHh5dI17w/omuaTGAFstQs&#10;Yrm3XAwMRupXgcdK5ax/Y8+Emlzwy23wt+HdvLbSLLC8XhuzRonU5DKRHwQeQRyDXou8UpOBQBg+&#10;Nvhd4Z+JdtDD4k8PaH4ght23RR6lYRXSxH1USKQD9K1tJ0i10LT4rSxtreztYF2xQwRiOOMegVQA&#10;PwqfdRuoArXmhWWo6ha3VxZ2s91YMz200kStJbMylWKMRlSVJBIxkEiuf+JHwM8F/GMQ/wDCW+Ef&#10;DPif7KCITq2lwXhhB67DIrbep6Yrqd1KDkUAcDo/7Kvwx8PPA1h8OfAtm9rgxPDoNqjRkdCCEyDX&#10;aanoVlrWkyWF5Z2t1YzLse3miWSJ19CpGCPbFWmbaKKAMTwX8NfDvw3sZbXw7oOjaBb3D+ZLFptl&#10;HapI394iNQCfc1D4/wDhH4V+K9raw+KfDPh/xLDYy+dbR6rp0N4tvJjG9BIrBWxxkc10JOKAc0AV&#10;9K0q10LTobOyt4LS1t12RQwxiOONfQKMAD2FWKKKAIb+H7RaSR52+YpXPpkYryL9hP8AZVX9iz9m&#10;7Rfh4utN4gXSJp5RfNa/ZjL5srSY2bmxjdj7xzivX7m4W1gaR/uoCx47DmuJ/Zz/AGjfCf7Vfwps&#10;fGngq+m1Hw/qTyRwTy20luzNG5RvkcBhhlI5FS4xclLqr/oH9lyqf8KCptqn7nNrZc+qi+l5cl1f&#10;X3Xbqd1RRRVAFFFZ3i7xbpvgPwxqGtaxeQ6fpel273V1czNtjhjQZZifYCgD4Y/4OAvi5beG/wBm&#10;jw74PWVf7Q8Tawt0Y88/Z7ZGLHH/AF0ki/I165/wSN+A9x8B/wBiLw1BqELW+qeJHk1y6jYYZPOx&#10;5QPv5Kxk+hJr5H+FfgHVP+Cwv7el94/1i1uIPhJ4JnS3tIpl+W7jjbdHbgH+KVsySY+6rbe61+qU&#10;MS28KxoqokY2qqjAUDoAKp7WA/If/gsXq7fEH/gpp4N8PuzSW9jaaTp4iB43TXLyN+JEqj8BX69K&#10;Nq4HQcCvxp/4K4Xr+E/+CqNhqkoaOOEaNeo3QlUK5I/FG/Kv2VR1lRWUhlYZBHQiiQCnpX49/wDB&#10;fvwwvhz9sDwzrMI8ttU8OQu7Dq0kVxMuf++dg/Cv2ENfkv8A8HC1yt3+0B8PbJVXzk0KRzj7xD3L&#10;Afqhx+NEdwP1O+G+tyeJfh3oOpTczahp1vcuT/eeJWP6mtqsT4aaPJ4d+HHh/T5M+ZY6bb27565S&#10;JVP8q26kD8hP+DhXj9qbwb/2Kif+ldzX646HC1tolnHIu2SOBFYHsQozX5H/APBwr/ydN4N/7FSP&#10;/wBK7mv16HSqYBRRRUgFfJf/AAWq+Ldv8Nf2E/EGnNKqah4uuLfSbVM8sPNWWU/hHGw/4EK+r7y7&#10;jsbWSaaRIYYVLySO21UUckknoB61+V/xXk1L/gst+3fZ6DoMlxH8JPh6THc6goPlyoWzLKuf45yo&#10;RB2Vd2OCKaA93/4IQfAe4+GH7KN94ovoWguvHl/9qiVhgm1hBjiP4sZWHswPevt6qHhfw1Y+DPDl&#10;hpGmW0Vnpul28dpawRLtSGJFCqoHoAAKv0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5N/a04/wCClv7Mf113/wBIWr6yr5L/AGvYVuf+Ck37M0bbgsn9vKSr&#10;FTg2LdCMEH3HNCAuf8FAvAa/Er45fAHT9GXd4u0/xemqiSEfvbXTIVL3Tuf4YztjXngsQBk8Vjft&#10;4+F9Pm/be/Zozawhda1rUYtRVRtXUEihgaNZgOJAp6Bs4yfWvqXwv8NtE8H6jc3thp8UeoXgC3F5&#10;IzTXVwo6K8zlpGUdgWwOwr5p/wCCgh/sL9qz9l/Xrn93ptl4sutPmmPCxy3UUSQgntllIqkB9Wz2&#10;MNzatBJDHJDIpRo2UFGUjBBHTGO1fNH/AATr8O2On+KPjw0NrDG1l8S9S023IH/HvapDbMkCf3Y1&#10;Z2IUYAJPFfTW/ivnf/gnja/arT4wa5CfM0/xN8S9Yv7KQfdliXyYNynuN8L8+1SB538Dvgx4Z+If&#10;7ev7Rmj6xpcN1p2nw6K1lEGaMae00E5leDaR5TMVUlkwcgGvSP8Agm5rvijWfgv4gs/EmpX2u2Wg&#10;+KdT0fQtVvZDJcalp9vOY45Gc8ycqwDnOQOpxmvO/hD8J9L+K/8AwUM/aUtdVm1uGFLXQY8adq91&#10;p5dXtpwwYwSJvHA4bOOcdTW7+yXr+u/Aj9rTxX8Bri+uNc8IaPoUGv8Ahm6ucNc6bavJ5Zs5HA+c&#10;K2QpPOE754oDO/Zu8O2Nr/wVX+O1vHawrbaXpOjzWUIX91ZvNAhlaNeiFyMsVAyc+pr6+K7lweh4&#10;xXyb+zrx/wAFYf2hP+wJoX/pMtfWG8b9v8XXFJgfIX7FHhyxtP8AgoV+0pDHbRrDos+jrp8ePksR&#10;PDcNMIl6RhyoJ24ziu18R/ETVP2k/wBq3Xvhlour6hoPhX4f2Vvc+JrzTJ2t73Ubq5G6GzjmXDQx&#10;iMMzshDk4UFcE1y/7GH/ACkR/an/AOvjw/8A+k91WL+z34gj/Z9/4KkfGLwp4gb7H/wtWOy13w/c&#10;znal8YUcSQoTwWBlcY6/uz7UwPcNS/Yd+G+pafJGukajZ3ci4/tC11m8hvlP97zxLvz7kmul/Z1+&#10;HmrfCj4R6b4f1rWtS8RX2ly3MX9pahdNc3V3EbmVoWkkYks3lGMHPTGO1duDkVxfxp+M+m/CX4Le&#10;JvGDzR3Fv4ftZ5Nsbg+bPGSiwg/3jKAmP7xxUgfM/wAVv2nfEXhD9v7wzrX2hl+FcOpt8OLwhz5Q&#10;1SdI5/OI6fLJ5UWT08tx3r7MHSvhvxv+yL8XPG/7CF94NvLTwK+o3kb+JJLlbu6/tI6m8pvGYfu9&#10;glMjFOuMHGcV9EfsNfH5f2lP2XPCfimRlOpTWv2TU4+jRXkJMUwI7ZZSwHow9aYHrlfGf7VPijS/&#10;Bf8AwVp+AmpaxqVjpOnwaBrAlury4WCGPdb3Cjc7EKMsQBk8kgV9mV8c/tMaXa61/wAFdvgDbXlv&#10;BdW8mgazuimjEiNi3uCMg8HkZ/CnED6a8L/F7wV8RfES2mh+JPDevanbwPOI7C+hupYY8qrMdhJU&#10;ElRzjP4V8y/to+B9J1z/AIKH/s92N1YwyWfiJtXj1SAZWPUVitN0fmgY37TyN2cV9RaT8I/Dvh/x&#10;r/wkOnaPp+n6q1m1hJNa26QmaEuj7X2gFsMnGem5vWvmL9ubw3F4v/4KB/s06bNcahaxXMmthpbK&#10;7ktbhMWm75ZIyGXpjgjIJHQ0gPoH4efs2eE/hR4+ute8OaaukzXtkbKeCGR/JkG8OH2FiAwxjIA4&#10;NfN/jb4XeH/Fn/BXyz0XUNLt7jR7z4fSapPYnK2810Lwp57IpCtJtJG4jJr6W+G/wQh+GfjTUtUt&#10;/EHijVItStIbYWmratPfx2xjZ2LxGVmKlt4DAddi+leEaqcf8FotL/7JfL/6XUAdj8Yv2FLG+0G4&#10;vvhlr2vfDTxdbqZbK50vUp1sZpByEuLUsYpIycA/LkdfYzf8E/P2pNS/ah+D+oL4osYtP8aeD9Sl&#10;0HxFbIu2M3Ef/LRV7K4PTpkNjjFe7zyrBGzuyoqgksxwAPevlT/gmN4cbU9c+NXxAgjaPRPiB41u&#10;bjSCBhLm2gLoJk7bWdnAI67KOgHJ/s6fBfwt48/4KCftFaPrGi2l/pOjnRnsLOTPkWJmglaXykBA&#10;TcQCduORX1Z8Jfgzovwa8NX2jaLC0el3l5LeC3kkaVYfMADICxJ28dM8ZxXyz8B/hnafEb/gpJ+0&#10;kt1qPiHT/so0MqdK1a408vut5c7/ACXXfjHG7OMnHU19WfCP4cD4VeEjpA1bVtcC3Vxci61O6e6u&#10;issrOEaRyWbYGCgnsooA+Vf2YvgZ4T+IX7Yn7Sel6zotvfafouraWmnQMzqmnia1keQQhSPL3Nz8&#10;uOQMV1n7CWpeI/A/7Qnxo+F95q2ra94V8E31lPoV1qV091cWkd1CZTamVyWYINuMk4H1rlP2efD3&#10;jDWv25v2npPCvibS9BMWp6Sssd9o5v0nc2TbGyJoyu3B9c7vauz/AOCeHxRjuZ/GngvxZYx6T8Yd&#10;K1WW+8UK5G7WzIQIr6E4G6AxiNFUcIqqO4ywPXv2ofiZc/Cr4JazqOm7X1y7VNM0ePPMt/cusFsP&#10;f95IpPsD9a8z/wCCaHxT1rxT8E9Q8G+LLp7rxp8L9Vn8N6tJI5ZpxGx8ibJ5KvHjBPXYTUP7Rt94&#10;k+LX7Vfgvwj4Rj0S6HgCA+LtYTVJZUtfOk329ijGNWbeD58oGOdintz5vpl54s/Zd/4KWaVrXi6L&#10;w/Y6L8drIaRP/Y80z2q6naqvkM5kVSHdTsHqXJznIo6Aeo/8FWbGJv2DfiBfbAt9plnFPaXC/LNa&#10;v9oiG5HHKkgkHB5BI6V6n+zhpVto/wAA/BcVrBHbxtolnIwRcbnaBCzH1YkkknkmvMf+Cqpz/wAE&#10;+Pid/wBg6L/0phr1b4BP/wAWJ8Fnt/YNjz/27pUgddRSI29Qw6HkUtAFbWRu0m5/65N/I18ef8ED&#10;hn/gmX4J/wCvvUP/AErlr7E1f/kFXX/XJv5Gvjv/AIIG/wDKMrwT/wBfeo/+lctT9pH3GXf8klj/&#10;APr/AIb/ANIxJ9mUUVV1rWbXw9pF1f3s0dtZ2UTTzzSHCxIoLMxPoACao+HDWdZtfD+lXN9fXMFn&#10;Z2cbTTzzOEjhRRkszHgADnJr88PjF8QvFn/BYL4rv8P/AIe3F9ofwT8P3IOv+ITGVGsSKchEBxuH&#10;HyJ6kO2PlFeDft2f8FXLX9q34jQeF4V17T/g7Z3AN/Bp7rDqPiIIcguW4jjJAwhzj7xBOAvrvws/&#10;4Ln/AAt+Cngaw8N+F/hLruj6LpsYjgtoLu3UD1Zj1Zj1LHJJ5JNXygfoX8Fvgz4d/Z/+G+meFPC+&#10;nQ6Zo+lReXFGg+aQ/wAUjn+J2PJY8kmrGofE7SdN+J+m+EJJpP7a1bT7jU4IlTcvkQPEjsx/h+aZ&#10;AM9cH8fz28Uf8HFekrYyjRvhfqE1xj9215rKRoD6kLExP0BH1Fdz/wAEj/iP4w/a8+L3xD+NXjRV&#10;WSS3g8N6PDFGyW1pAG8+WOEEngMIixySWJpWYHjv/Bwt8H7jTfiH4F+IFvC32e+sX0S4lUcJLDI0&#10;0Wfdllkx/ue1foN+xl8X4Pjv+y14F8UQyrLJqOj24usHOy5RBHMv4SK4pv7Yv7MWlftd/ALWvBWq&#10;Otu16gmsbvZuaxukOY5B7Z4YcZVmHevzz/YY/ar8Qf8ABK/4k6v8JfjRpmpad4Wu7tp7HUkieaG0&#10;kPDSxYB8yCQBSdvKkZxksAboD9XD0r8oP2zNG/4bK/4LPeG/Btmv2ux8NmysL0j5kSGDdd3Ge2Bv&#10;ZT78da+svj1/wVt+Gfg/wKy+AdUj+InjPVE8rR9H0mGWZpZm4UyYX5VBxkfePQDuMX/gll+wnrfw&#10;NTXPiZ8Rv3/xK8cO806SYd9NhkfzGRj/AM9HbBbHQBV7GjYD7HFB6UCuY8d/Gvwb8LrhIfE3izw3&#10;4elkj81E1LU4bVnTONwEjAkZ4yKkD8pf+Dg278/9q/wrHjHk+Folz65urk/1r9f4ZFmiV1YMrAEE&#10;HgivxF/4LQfH3wv8fv2sLW68J6tZ65pujaLDp8l5atvgkl8ySRgjdGA3gZHGcjtX6r/s8/tqfDP4&#10;v/Dvw1NYeOfCv9p6hZ26Pp8upwxXkc5RQYzCzB927Ixjk9Kp7Aey02WZYUZnZVVRkknAA9zQz7Yy&#10;x+UAZJPavyb/AOCl3/BWkfFXxTd/DfwXd6lp3ge3ujaa9q1mQt5qyK22WKDcQFi4IyT8/HReDKA9&#10;k/at/aO8Vf8ABRH4mXHwP+CNxInhmB9ni/xYmfsqRA4aFGGNydjtOZTwPkDE/XX7LP7Lvhf9kn4S&#10;WPhPwvarHDABJd3bqBPqM+AGmkPdjjgdFAAHAr8+/wBnz/gs18If2YPhxZ+F/B/wm8Radp1sN0j/&#10;AG23aa8k7yyvjLufU9BgDAAFdRrn/BxZoMNtJ/Zvwv1i4lxhPtOsRwrn32xP/n0qrMD9A/F3xP0n&#10;wV4p8N6NfTSLqHiy6ls9PjRN3mPHC8zk+ihUPPqR610NfnR/wTb/AGgfGv8AwUL/AG09T+I/ii1i&#10;sdA+H+jy2mkWFsrfZbKa7YKSGb78jRxvub0A4AwK/RcdKl6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a8V+M/7IB+MH7QXg74iN4q1HS9S8BmQ6TbQ2sbW480&#10;bZfN3fM+5cjgrgV7VRQBHaRyRW8azSebIqgM4XaGPc47Vyfxy+Bnhz9oj4fXXhnxRZNeabcssimO&#10;QxzW0q8pNE45SRDyGH6gkV2FFAHjdr+zH4oPh9dCvPi943vNBEfkMggs4b+SLGNjXaxCXJHG8Yf/&#10;AGgea9K8B+AdJ+GPg7T9A0Gxg0vSdLiEFrbQjCRqP1JJySTySSTya2qKAPBNG/Yx1jwj+0B4x+Ie&#10;h/EjWNN1LxwIF1G0OmW09qVgUrEFDgsNoLc5/iNd78KP2f8ATfhh4n1zxFJeX2veK/E3ljUtYv8A&#10;Z50scYIjhRUCpFEmThEAGTk5PNd9RQB87RfsK6to37Svif4paL8Ttf0bX/FsMVtfwR6baTWrRRIi&#10;RoEkVsbRGvOc5zzya9N+F3wl1rwX4j1XV9e8Zap4uv8AUoIbaI3NpBaxWUUZdtqRwqoyzOSWOScD&#10;sBXeUUAeM/Bz9kd/g58evG3j638VX+oX3xAlhk1e0ntI1gPkhhCIsfMm1XYcls5rov2hf2W/Bv7T&#10;3h+1sfFemvNPp0vn6fqFpMba/wBNl/vwzL8yHIBx0JAyDgV6JRQB4lp37MXjvRdOGn2vxy8dHTVX&#10;YoudP064ugv/AF8NBvJ9zzT/ABx+xzH4v+F3hnwYnirWINA8O3drqEqTRpcz6zcQT/aA11I3+sV5&#10;QHdQBubnPavaqKAGorLCoZtzAAE4xk145+zv+yKv7NfjjxbfaH4mvpNB8XarLrE2hzWsf2eynkJL&#10;eQwwyA5GQcg7R0r2WigArxD4m/sbN8R/2n/DfxU/4S7UtP1rwjA9rplpFaxvapFIHEokB+ZiyyMM&#10;grgY9K9vooAjt1kS3VZG3yKoDMBjcfXHb6V4j+0N+xpcfHf41eD/AB1b+Oda8L6t4F846StlaQSp&#10;GZVCyFxKGD7lGMEYwSPevcqKAPOvAvwg8TaJ44g1jxB8QdW8UQ2ltJDb2L6fa2cCO5XMp8lQWYKC&#10;oycDceM1wXxI/Yf1Pxr+1LbfFrTfiPrXhzxBZ6eNJggttPt5rdbTczGJlkB3EliSx7gYxgV9BUUA&#10;eS+JP2atW+Jdg2n+MfiB4k1nQ5OLjTbGKDS4b1e6SvColZDyCodQRwcjivTPDvhuw8IeH7PS9Ls7&#10;bTtPsIlgtra3jEcUCKMBVUcACr1FAHzxoP7DWteDfjx4y+IWg/FHXtJ1fxyYf7TgGl2k9swiXbEF&#10;WRWK7QSAc55Oeter/Cn4cat4Ct9Uk1jxVqXizUtUuBM13d28NuIECBViSOJVVVGCemSWOSa7CigD&#10;x/4LfspyfBn40+NvGkPim+1K5+IFzFdava3FpGsO+JWSLyipygVWxyWzipfjx+yHo/xm8f6B4zsd&#10;U1Twj458M/JZa5pRQTPCc7oJkYFZYjk/K3TJx1Net0UAea/BX9nuT4TePfGHiS78Q3niDVPGs8Nx&#10;eyXNtHF5RiTy40j2/djVc4U5wSTkkmqv7Wv7LGnftY/D/T9FvNUvtButI1SDV7DU7FFN1ZzxZ2lC&#10;3AznmvVKKAPJ/j5+zVeftF/s833w/wBd8V3kUOrIkV/qFrZxxz3CI6uAFJKqSyDOByMjAzWD4e/Z&#10;P8beGvhtaeFLb4z+JV0mzs10+Jv7GsPtKQKoQKJfL3ZC8bvve+ea92ooAr6RpsejaVa2cO7ybWJY&#10;UycnaoAH8qsUUUAV9X/5BV1/1yb+Rr47/wCCBv8AyjK8E/8AX3qP/pXLX2Jq/wDyCrr/AK5N/I18&#10;d/8ABA3/AJRleCf+vvUP/SuWpfxI+4y3/kksf/1/w3/pGJPsymyIsqMrKrKwwQRkEU6iqPhzF/4V&#10;r4c/6F/Rf/AGL/4mj/hW3h3/AKAGi/8AgDF/8TW1RQBi/wDCtfDn/Qv6L/4Axf8AxNaWm6Xa6NaL&#10;b2dtb2sC8iOGMRoPwHFWKKACsXxt8OfD/wAStL+w+ItB0XX7LOfs+pWUd1F/3zIpFbVFAHJeAvgH&#10;4F+Fd00/hnwX4T8O3DjDS6ZpFvaOw92jQE11vSiigArP1bwjpOv3CzX2l6feyqu0PPbJIwHplgeK&#10;0KKAMX/hWvhz/oX9F/8AAGL/AOJp0Pw78P20yyR6Fo8ckZDKy2UYZSOQQdvatiigArGk+HPh6aRn&#10;fQdGZ3JLMbKMliepPy1s0UAYv/CtvDv/AEANF/8AAGL/AOJo/wCFa+HP+hf0X/wBi/8Aia2qKAKu&#10;k6FY6DAYrGztbKJjuKQQrGpPrhQKt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39sbyyliVtpkQrk9sjFeL/APBPT9kq6/Yl/Zb0P4d3&#10;2tW/iC40ea5lN7Dbm3STzZmkxsLMRjdjrXt1FHmd1PMsRTwdTARf7upKEpKy1lBTUXfdWU5aLR31&#10;2QUUUUHC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fixvb+9R&#10;vb+9SY9qMe1Bm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B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FAAGAAgAAAAhACN6iQjfAAAABwEAAA8AAABkcnMvZG93bnJldi54bWxMj0FLw0AQhe+C/2EZ&#10;wVu7SWq0xGxKKeqpCLZC6W2anSah2d2Q3Sbpv3c86XHee7z3Tb6aTCsG6n3jrIJ4HoEgWzrd2ErB&#10;9/59tgThA1qNrbOk4EYeVsX9XY6ZdqP9omEXKsEl1meooA6hy6T0ZU0G/dx1ZNk7u95g4LOvpO5x&#10;5HLTyiSKnqXBxvJCjR1taiovu6tR8DHiuF7Eb8P2ct7cjvv087CNSanHh2n9CiLQFP7C8IvP6FAw&#10;08ldrfaiVcCPBAWz9CkBwfZLumDlpCCJliCLXP7nL34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ZXJ86ZAwAA6QkAAA4AAAAAAAAAAAAAAAAAPAIAAGRycy9lMm9E&#10;b2MueG1sUEsBAi0ACgAAAAAAAAAhAGMeiqEeEgEAHhIBABUAAAAAAAAAAAAAAAAAAQYAAGRycy9t&#10;ZWRpYS9pbWFnZTEuanBlZ1BLAQItABQABgAIAAAAIQAjeokI3wAAAAcBAAAPAAAAAAAAAAAAAAAA&#10;AFIYAQBkcnMvZG93bnJldi54bWxQSwECLQAUAAYACAAAACEAWGCzG7oAAAAiAQAAGQAAAAAAAAAA&#10;AAAAAABeGQEAZHJzL19yZWxzL2Uyb0RvYy54bWwucmVsc1BLBQYAAAAABgAGAH0BAABPGg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5714AC06" w14:textId="77777777" w:rsidR="00F60FD7" w:rsidRDefault="00F60FD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F60FD7" w:rsidRDefault="00F60FD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7635C92" w14:textId="3260AB3F" w:rsidR="00F60FD7" w:rsidRPr="00DE4269" w:rsidRDefault="00F60FD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2024</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1FC96583" wp14:editId="0C482397">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0558184"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1BBA" w14:textId="77777777" w:rsidR="00F60FD7" w:rsidRPr="003527CD" w:rsidRDefault="00F60FD7"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468A18E5" wp14:editId="3AE9D625">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3D4F7452"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81B71"/>
    <w:multiLevelType w:val="singleLevel"/>
    <w:tmpl w:val="C6D685E8"/>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23104E84"/>
    <w:multiLevelType w:val="hybridMultilevel"/>
    <w:tmpl w:val="26BA2848"/>
    <w:lvl w:ilvl="0" w:tplc="FA344E96">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4461C3"/>
    <w:multiLevelType w:val="hybridMultilevel"/>
    <w:tmpl w:val="4C46A19E"/>
    <w:lvl w:ilvl="0" w:tplc="9984C976">
      <w:start w:val="1"/>
      <w:numFmt w:val="low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67F73CFA"/>
    <w:multiLevelType w:val="hybridMultilevel"/>
    <w:tmpl w:val="7776821C"/>
    <w:lvl w:ilvl="0" w:tplc="4CBADEDE">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15:restartNumberingAfterBreak="0">
    <w:nsid w:val="7BE0120A"/>
    <w:multiLevelType w:val="hybridMultilevel"/>
    <w:tmpl w:val="116E003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10652623">
    <w:abstractNumId w:val="6"/>
  </w:num>
  <w:num w:numId="2" w16cid:durableId="1017385422">
    <w:abstractNumId w:val="0"/>
  </w:num>
  <w:num w:numId="3" w16cid:durableId="1725760984">
    <w:abstractNumId w:val="2"/>
  </w:num>
  <w:num w:numId="4" w16cid:durableId="19792580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36595607">
    <w:abstractNumId w:val="4"/>
  </w:num>
  <w:num w:numId="6" w16cid:durableId="1125857067">
    <w:abstractNumId w:val="1"/>
  </w:num>
  <w:num w:numId="7" w16cid:durableId="830952229">
    <w:abstractNumId w:val="5"/>
  </w:num>
  <w:num w:numId="8" w16cid:durableId="8319141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evenAndOddHeaders/>
  <w:characterSpacingControl w:val="doNotCompress"/>
  <w:hdrShapeDefaults>
    <o:shapedefaults v:ext="edit" spidmax="2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6217"/>
    <w:rsid w:val="0000712A"/>
    <w:rsid w:val="0001342E"/>
    <w:rsid w:val="00013AA1"/>
    <w:rsid w:val="000155BC"/>
    <w:rsid w:val="000164D8"/>
    <w:rsid w:val="000202A5"/>
    <w:rsid w:val="000209E1"/>
    <w:rsid w:val="00021787"/>
    <w:rsid w:val="00026C0E"/>
    <w:rsid w:val="00026DF6"/>
    <w:rsid w:val="000271C8"/>
    <w:rsid w:val="00031160"/>
    <w:rsid w:val="00031DC4"/>
    <w:rsid w:val="00032921"/>
    <w:rsid w:val="00037045"/>
    <w:rsid w:val="00037A4C"/>
    <w:rsid w:val="00037E57"/>
    <w:rsid w:val="000401B4"/>
    <w:rsid w:val="00040466"/>
    <w:rsid w:val="00041356"/>
    <w:rsid w:val="0004135F"/>
    <w:rsid w:val="000417DA"/>
    <w:rsid w:val="000438F0"/>
    <w:rsid w:val="00043D1E"/>
    <w:rsid w:val="00043F64"/>
    <w:rsid w:val="0004567A"/>
    <w:rsid w:val="00045A10"/>
    <w:rsid w:val="0004695D"/>
    <w:rsid w:val="00046F70"/>
    <w:rsid w:val="00053994"/>
    <w:rsid w:val="00054C4D"/>
    <w:rsid w:val="00056EDF"/>
    <w:rsid w:val="000574E6"/>
    <w:rsid w:val="00057C1C"/>
    <w:rsid w:val="00062509"/>
    <w:rsid w:val="00063159"/>
    <w:rsid w:val="000655E4"/>
    <w:rsid w:val="0006610A"/>
    <w:rsid w:val="0006650D"/>
    <w:rsid w:val="0006668A"/>
    <w:rsid w:val="000674ED"/>
    <w:rsid w:val="0006755E"/>
    <w:rsid w:val="00071309"/>
    <w:rsid w:val="00071E4C"/>
    <w:rsid w:val="00072BA1"/>
    <w:rsid w:val="00072C3F"/>
    <w:rsid w:val="00074536"/>
    <w:rsid w:val="0007519E"/>
    <w:rsid w:val="00075588"/>
    <w:rsid w:val="00076E1D"/>
    <w:rsid w:val="00077A1F"/>
    <w:rsid w:val="0008099F"/>
    <w:rsid w:val="00080D6B"/>
    <w:rsid w:val="00083D85"/>
    <w:rsid w:val="00084D46"/>
    <w:rsid w:val="000872D9"/>
    <w:rsid w:val="00090FD9"/>
    <w:rsid w:val="00091435"/>
    <w:rsid w:val="000932FE"/>
    <w:rsid w:val="0009604B"/>
    <w:rsid w:val="00097255"/>
    <w:rsid w:val="000A00F8"/>
    <w:rsid w:val="000A1DD4"/>
    <w:rsid w:val="000A30D1"/>
    <w:rsid w:val="000A4867"/>
    <w:rsid w:val="000A5776"/>
    <w:rsid w:val="000A58AB"/>
    <w:rsid w:val="000A7734"/>
    <w:rsid w:val="000A7AB8"/>
    <w:rsid w:val="000B0542"/>
    <w:rsid w:val="000B0742"/>
    <w:rsid w:val="000B3A2D"/>
    <w:rsid w:val="000B54AD"/>
    <w:rsid w:val="000B552D"/>
    <w:rsid w:val="000B5932"/>
    <w:rsid w:val="000B62E8"/>
    <w:rsid w:val="000B6DEA"/>
    <w:rsid w:val="000B6E5A"/>
    <w:rsid w:val="000C024C"/>
    <w:rsid w:val="000C6E95"/>
    <w:rsid w:val="000C7FBB"/>
    <w:rsid w:val="000D01E9"/>
    <w:rsid w:val="000D0EE3"/>
    <w:rsid w:val="000D4D45"/>
    <w:rsid w:val="000D553D"/>
    <w:rsid w:val="000D76D8"/>
    <w:rsid w:val="000E029D"/>
    <w:rsid w:val="000E0A96"/>
    <w:rsid w:val="000E10A7"/>
    <w:rsid w:val="000E4072"/>
    <w:rsid w:val="000E5C7A"/>
    <w:rsid w:val="000E5D7B"/>
    <w:rsid w:val="000E6692"/>
    <w:rsid w:val="000F0E08"/>
    <w:rsid w:val="000F1B18"/>
    <w:rsid w:val="000F5D5C"/>
    <w:rsid w:val="000F7AB4"/>
    <w:rsid w:val="00100FD7"/>
    <w:rsid w:val="0010182C"/>
    <w:rsid w:val="001049BA"/>
    <w:rsid w:val="00105410"/>
    <w:rsid w:val="001054F7"/>
    <w:rsid w:val="00111884"/>
    <w:rsid w:val="00112770"/>
    <w:rsid w:val="001130E9"/>
    <w:rsid w:val="001144E5"/>
    <w:rsid w:val="00114FC2"/>
    <w:rsid w:val="001156F5"/>
    <w:rsid w:val="00115921"/>
    <w:rsid w:val="00115CB7"/>
    <w:rsid w:val="00115E5C"/>
    <w:rsid w:val="00115FAF"/>
    <w:rsid w:val="00117011"/>
    <w:rsid w:val="00117F03"/>
    <w:rsid w:val="001203B5"/>
    <w:rsid w:val="00120A86"/>
    <w:rsid w:val="00120F4C"/>
    <w:rsid w:val="001210DD"/>
    <w:rsid w:val="00121842"/>
    <w:rsid w:val="00121982"/>
    <w:rsid w:val="00121F18"/>
    <w:rsid w:val="00123461"/>
    <w:rsid w:val="001234D1"/>
    <w:rsid w:val="00125004"/>
    <w:rsid w:val="0013011C"/>
    <w:rsid w:val="001330F9"/>
    <w:rsid w:val="001340E0"/>
    <w:rsid w:val="00134F21"/>
    <w:rsid w:val="00136E7D"/>
    <w:rsid w:val="001412D7"/>
    <w:rsid w:val="00142035"/>
    <w:rsid w:val="001435CE"/>
    <w:rsid w:val="0014373E"/>
    <w:rsid w:val="001443EA"/>
    <w:rsid w:val="00144A5D"/>
    <w:rsid w:val="0014540D"/>
    <w:rsid w:val="001528B7"/>
    <w:rsid w:val="001547B6"/>
    <w:rsid w:val="00155BEA"/>
    <w:rsid w:val="00155DFE"/>
    <w:rsid w:val="001562E4"/>
    <w:rsid w:val="00160E16"/>
    <w:rsid w:val="00161865"/>
    <w:rsid w:val="0016242F"/>
    <w:rsid w:val="001635E1"/>
    <w:rsid w:val="00165BB4"/>
    <w:rsid w:val="001660FE"/>
    <w:rsid w:val="00167E33"/>
    <w:rsid w:val="00171788"/>
    <w:rsid w:val="00172B7D"/>
    <w:rsid w:val="00174EA9"/>
    <w:rsid w:val="00174F47"/>
    <w:rsid w:val="001769D8"/>
    <w:rsid w:val="001778B1"/>
    <w:rsid w:val="0018009C"/>
    <w:rsid w:val="0018055B"/>
    <w:rsid w:val="001837A5"/>
    <w:rsid w:val="001854C3"/>
    <w:rsid w:val="0018603D"/>
    <w:rsid w:val="0018652F"/>
    <w:rsid w:val="001872A3"/>
    <w:rsid w:val="00191085"/>
    <w:rsid w:val="00191FC5"/>
    <w:rsid w:val="00192770"/>
    <w:rsid w:val="00192B86"/>
    <w:rsid w:val="00193B2D"/>
    <w:rsid w:val="001945B9"/>
    <w:rsid w:val="001951AF"/>
    <w:rsid w:val="001A26CD"/>
    <w:rsid w:val="001A3F6A"/>
    <w:rsid w:val="001A4DF9"/>
    <w:rsid w:val="001A575F"/>
    <w:rsid w:val="001A78A4"/>
    <w:rsid w:val="001B011B"/>
    <w:rsid w:val="001B0197"/>
    <w:rsid w:val="001B0C81"/>
    <w:rsid w:val="001B13BF"/>
    <w:rsid w:val="001B1579"/>
    <w:rsid w:val="001B1B72"/>
    <w:rsid w:val="001B1BBF"/>
    <w:rsid w:val="001B2632"/>
    <w:rsid w:val="001B267D"/>
    <w:rsid w:val="001B378A"/>
    <w:rsid w:val="001B4EE5"/>
    <w:rsid w:val="001B51F1"/>
    <w:rsid w:val="001B6F95"/>
    <w:rsid w:val="001B7DDA"/>
    <w:rsid w:val="001C2435"/>
    <w:rsid w:val="001C37DA"/>
    <w:rsid w:val="001C47EF"/>
    <w:rsid w:val="001C4842"/>
    <w:rsid w:val="001C48E8"/>
    <w:rsid w:val="001C4CB9"/>
    <w:rsid w:val="001C584E"/>
    <w:rsid w:val="001C654F"/>
    <w:rsid w:val="001C66C1"/>
    <w:rsid w:val="001C6C21"/>
    <w:rsid w:val="001C6FD8"/>
    <w:rsid w:val="001D0747"/>
    <w:rsid w:val="001D1569"/>
    <w:rsid w:val="001D163C"/>
    <w:rsid w:val="001D3572"/>
    <w:rsid w:val="001E2A65"/>
    <w:rsid w:val="001E3216"/>
    <w:rsid w:val="001E327A"/>
    <w:rsid w:val="001E46CF"/>
    <w:rsid w:val="001E6E42"/>
    <w:rsid w:val="001E7072"/>
    <w:rsid w:val="001F0A5E"/>
    <w:rsid w:val="001F0C04"/>
    <w:rsid w:val="001F18C1"/>
    <w:rsid w:val="001F2E68"/>
    <w:rsid w:val="001F3D67"/>
    <w:rsid w:val="001F4B7F"/>
    <w:rsid w:val="00200469"/>
    <w:rsid w:val="00201919"/>
    <w:rsid w:val="002023F6"/>
    <w:rsid w:val="00202B11"/>
    <w:rsid w:val="00202C27"/>
    <w:rsid w:val="00203AC0"/>
    <w:rsid w:val="00203F37"/>
    <w:rsid w:val="00204C86"/>
    <w:rsid w:val="00204F06"/>
    <w:rsid w:val="00206E09"/>
    <w:rsid w:val="00212203"/>
    <w:rsid w:val="00215B92"/>
    <w:rsid w:val="00221C53"/>
    <w:rsid w:val="00221DB1"/>
    <w:rsid w:val="0022227A"/>
    <w:rsid w:val="00222D09"/>
    <w:rsid w:val="00223CE1"/>
    <w:rsid w:val="0022440F"/>
    <w:rsid w:val="002253A0"/>
    <w:rsid w:val="00227B93"/>
    <w:rsid w:val="00230B71"/>
    <w:rsid w:val="00236748"/>
    <w:rsid w:val="002431DD"/>
    <w:rsid w:val="00243D91"/>
    <w:rsid w:val="00244D40"/>
    <w:rsid w:val="00245E54"/>
    <w:rsid w:val="00247A5F"/>
    <w:rsid w:val="00247AD7"/>
    <w:rsid w:val="00251F0D"/>
    <w:rsid w:val="00255476"/>
    <w:rsid w:val="0025548F"/>
    <w:rsid w:val="0025735F"/>
    <w:rsid w:val="002615F9"/>
    <w:rsid w:val="00261B45"/>
    <w:rsid w:val="0026333F"/>
    <w:rsid w:val="00264426"/>
    <w:rsid w:val="002705C0"/>
    <w:rsid w:val="00270EC8"/>
    <w:rsid w:val="002714C7"/>
    <w:rsid w:val="00272E20"/>
    <w:rsid w:val="00274353"/>
    <w:rsid w:val="002748C9"/>
    <w:rsid w:val="0027627B"/>
    <w:rsid w:val="002762F9"/>
    <w:rsid w:val="00276EE2"/>
    <w:rsid w:val="00280CD3"/>
    <w:rsid w:val="00280CDA"/>
    <w:rsid w:val="002858C7"/>
    <w:rsid w:val="00287C7B"/>
    <w:rsid w:val="00287D90"/>
    <w:rsid w:val="00290A24"/>
    <w:rsid w:val="00295D09"/>
    <w:rsid w:val="00295FCC"/>
    <w:rsid w:val="00297D52"/>
    <w:rsid w:val="002A15A9"/>
    <w:rsid w:val="002A1E5B"/>
    <w:rsid w:val="002A2013"/>
    <w:rsid w:val="002A379D"/>
    <w:rsid w:val="002A62AF"/>
    <w:rsid w:val="002A70B3"/>
    <w:rsid w:val="002A728F"/>
    <w:rsid w:val="002A7396"/>
    <w:rsid w:val="002B0770"/>
    <w:rsid w:val="002B3186"/>
    <w:rsid w:val="002B32BF"/>
    <w:rsid w:val="002B44E6"/>
    <w:rsid w:val="002B4828"/>
    <w:rsid w:val="002B547F"/>
    <w:rsid w:val="002B7C62"/>
    <w:rsid w:val="002C060D"/>
    <w:rsid w:val="002C0A9F"/>
    <w:rsid w:val="002C416F"/>
    <w:rsid w:val="002C479E"/>
    <w:rsid w:val="002C4A76"/>
    <w:rsid w:val="002C4E19"/>
    <w:rsid w:val="002C55F6"/>
    <w:rsid w:val="002C5ACA"/>
    <w:rsid w:val="002D0278"/>
    <w:rsid w:val="002D22E8"/>
    <w:rsid w:val="002D2813"/>
    <w:rsid w:val="002D2BEE"/>
    <w:rsid w:val="002D3E68"/>
    <w:rsid w:val="002E1B6E"/>
    <w:rsid w:val="002E1F2D"/>
    <w:rsid w:val="002E3C2E"/>
    <w:rsid w:val="002E4A3B"/>
    <w:rsid w:val="002E52F9"/>
    <w:rsid w:val="002F3005"/>
    <w:rsid w:val="002F502D"/>
    <w:rsid w:val="002F546C"/>
    <w:rsid w:val="002F769E"/>
    <w:rsid w:val="00300EF3"/>
    <w:rsid w:val="00300F57"/>
    <w:rsid w:val="0030292A"/>
    <w:rsid w:val="00302E39"/>
    <w:rsid w:val="00303EA9"/>
    <w:rsid w:val="00304672"/>
    <w:rsid w:val="00310A44"/>
    <w:rsid w:val="00311228"/>
    <w:rsid w:val="00311255"/>
    <w:rsid w:val="00312040"/>
    <w:rsid w:val="003121C3"/>
    <w:rsid w:val="003156F1"/>
    <w:rsid w:val="003171B4"/>
    <w:rsid w:val="0032152C"/>
    <w:rsid w:val="0032384C"/>
    <w:rsid w:val="00323D16"/>
    <w:rsid w:val="00324311"/>
    <w:rsid w:val="00327048"/>
    <w:rsid w:val="00327701"/>
    <w:rsid w:val="00327740"/>
    <w:rsid w:val="00331185"/>
    <w:rsid w:val="00332091"/>
    <w:rsid w:val="0033398C"/>
    <w:rsid w:val="00333EF7"/>
    <w:rsid w:val="00334098"/>
    <w:rsid w:val="00336B8F"/>
    <w:rsid w:val="0033784D"/>
    <w:rsid w:val="00337CFD"/>
    <w:rsid w:val="00346328"/>
    <w:rsid w:val="003478FA"/>
    <w:rsid w:val="00347BC6"/>
    <w:rsid w:val="00351921"/>
    <w:rsid w:val="003527CD"/>
    <w:rsid w:val="003530FB"/>
    <w:rsid w:val="00354047"/>
    <w:rsid w:val="0035405F"/>
    <w:rsid w:val="0035468F"/>
    <w:rsid w:val="00355DA8"/>
    <w:rsid w:val="00355E3E"/>
    <w:rsid w:val="00356170"/>
    <w:rsid w:val="00357A70"/>
    <w:rsid w:val="003612CA"/>
    <w:rsid w:val="00363494"/>
    <w:rsid w:val="00365BA0"/>
    <w:rsid w:val="00370A73"/>
    <w:rsid w:val="00370FF6"/>
    <w:rsid w:val="00371E98"/>
    <w:rsid w:val="00372F40"/>
    <w:rsid w:val="00374952"/>
    <w:rsid w:val="00374E36"/>
    <w:rsid w:val="00375F89"/>
    <w:rsid w:val="00380E8C"/>
    <w:rsid w:val="00380EE2"/>
    <w:rsid w:val="003811EC"/>
    <w:rsid w:val="00382E8F"/>
    <w:rsid w:val="00383BCB"/>
    <w:rsid w:val="0038423D"/>
    <w:rsid w:val="0038695F"/>
    <w:rsid w:val="00386DD7"/>
    <w:rsid w:val="00386E53"/>
    <w:rsid w:val="003900E3"/>
    <w:rsid w:val="00390936"/>
    <w:rsid w:val="00390A9A"/>
    <w:rsid w:val="003926A7"/>
    <w:rsid w:val="00392742"/>
    <w:rsid w:val="00393281"/>
    <w:rsid w:val="00393659"/>
    <w:rsid w:val="00393A48"/>
    <w:rsid w:val="00394541"/>
    <w:rsid w:val="003951A0"/>
    <w:rsid w:val="00396C2B"/>
    <w:rsid w:val="00397076"/>
    <w:rsid w:val="003A0303"/>
    <w:rsid w:val="003A0641"/>
    <w:rsid w:val="003A072B"/>
    <w:rsid w:val="003A3013"/>
    <w:rsid w:val="003A4518"/>
    <w:rsid w:val="003A698E"/>
    <w:rsid w:val="003A6C39"/>
    <w:rsid w:val="003A731F"/>
    <w:rsid w:val="003A7ADE"/>
    <w:rsid w:val="003B1B0C"/>
    <w:rsid w:val="003B55DA"/>
    <w:rsid w:val="003B710A"/>
    <w:rsid w:val="003C0B34"/>
    <w:rsid w:val="003C2589"/>
    <w:rsid w:val="003C35FE"/>
    <w:rsid w:val="003C3AC9"/>
    <w:rsid w:val="003C3B3A"/>
    <w:rsid w:val="003C3F52"/>
    <w:rsid w:val="003C422B"/>
    <w:rsid w:val="003C4805"/>
    <w:rsid w:val="003C5841"/>
    <w:rsid w:val="003C5C30"/>
    <w:rsid w:val="003C7A1D"/>
    <w:rsid w:val="003D0221"/>
    <w:rsid w:val="003D1331"/>
    <w:rsid w:val="003D1D42"/>
    <w:rsid w:val="003D2E3D"/>
    <w:rsid w:val="003D56C9"/>
    <w:rsid w:val="003D5DBF"/>
    <w:rsid w:val="003D6079"/>
    <w:rsid w:val="003E33EF"/>
    <w:rsid w:val="003E3D38"/>
    <w:rsid w:val="003E63CA"/>
    <w:rsid w:val="003E6BD8"/>
    <w:rsid w:val="003E7FD0"/>
    <w:rsid w:val="003F0340"/>
    <w:rsid w:val="003F0EA4"/>
    <w:rsid w:val="003F16E6"/>
    <w:rsid w:val="003F2A03"/>
    <w:rsid w:val="003F3486"/>
    <w:rsid w:val="003F4574"/>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17051"/>
    <w:rsid w:val="00420208"/>
    <w:rsid w:val="00420656"/>
    <w:rsid w:val="004213BC"/>
    <w:rsid w:val="00424251"/>
    <w:rsid w:val="004306DA"/>
    <w:rsid w:val="004311BE"/>
    <w:rsid w:val="00435556"/>
    <w:rsid w:val="00435A64"/>
    <w:rsid w:val="004373B9"/>
    <w:rsid w:val="00437809"/>
    <w:rsid w:val="00441829"/>
    <w:rsid w:val="00441E7C"/>
    <w:rsid w:val="0044253C"/>
    <w:rsid w:val="004466A7"/>
    <w:rsid w:val="00447FD2"/>
    <w:rsid w:val="00451963"/>
    <w:rsid w:val="00451C8F"/>
    <w:rsid w:val="00454129"/>
    <w:rsid w:val="00454250"/>
    <w:rsid w:val="00454AE1"/>
    <w:rsid w:val="0046161E"/>
    <w:rsid w:val="00462592"/>
    <w:rsid w:val="00463B0D"/>
    <w:rsid w:val="0046425D"/>
    <w:rsid w:val="00464409"/>
    <w:rsid w:val="004644D4"/>
    <w:rsid w:val="004649FD"/>
    <w:rsid w:val="00466C1E"/>
    <w:rsid w:val="0047083F"/>
    <w:rsid w:val="004714CF"/>
    <w:rsid w:val="00471984"/>
    <w:rsid w:val="00474420"/>
    <w:rsid w:val="00480484"/>
    <w:rsid w:val="00480F7F"/>
    <w:rsid w:val="00482D09"/>
    <w:rsid w:val="00482E20"/>
    <w:rsid w:val="004833FD"/>
    <w:rsid w:val="0048365A"/>
    <w:rsid w:val="004842C3"/>
    <w:rsid w:val="00484C0D"/>
    <w:rsid w:val="00484E35"/>
    <w:rsid w:val="00487AC2"/>
    <w:rsid w:val="0049279C"/>
    <w:rsid w:val="00493E27"/>
    <w:rsid w:val="00494605"/>
    <w:rsid w:val="00496633"/>
    <w:rsid w:val="00496F40"/>
    <w:rsid w:val="00497D8B"/>
    <w:rsid w:val="004A07A5"/>
    <w:rsid w:val="004A47F5"/>
    <w:rsid w:val="004A56B0"/>
    <w:rsid w:val="004A67F1"/>
    <w:rsid w:val="004A6987"/>
    <w:rsid w:val="004A7484"/>
    <w:rsid w:val="004B04CF"/>
    <w:rsid w:val="004B1994"/>
    <w:rsid w:val="004B1F00"/>
    <w:rsid w:val="004B2344"/>
    <w:rsid w:val="004B263B"/>
    <w:rsid w:val="004B35C6"/>
    <w:rsid w:val="004B5686"/>
    <w:rsid w:val="004C041A"/>
    <w:rsid w:val="004C0ECA"/>
    <w:rsid w:val="004C1616"/>
    <w:rsid w:val="004C187E"/>
    <w:rsid w:val="004C3F0D"/>
    <w:rsid w:val="004C4F16"/>
    <w:rsid w:val="004C5E7B"/>
    <w:rsid w:val="004D30E1"/>
    <w:rsid w:val="004D3E91"/>
    <w:rsid w:val="004D41B8"/>
    <w:rsid w:val="004D5BEA"/>
    <w:rsid w:val="004D6FA0"/>
    <w:rsid w:val="004E0191"/>
    <w:rsid w:val="004E283B"/>
    <w:rsid w:val="004E2DD2"/>
    <w:rsid w:val="004E3EA4"/>
    <w:rsid w:val="004E4A13"/>
    <w:rsid w:val="004E6076"/>
    <w:rsid w:val="004F53E3"/>
    <w:rsid w:val="004F542A"/>
    <w:rsid w:val="004F5641"/>
    <w:rsid w:val="004F5A19"/>
    <w:rsid w:val="004F5AA8"/>
    <w:rsid w:val="004F6EBD"/>
    <w:rsid w:val="005008D3"/>
    <w:rsid w:val="0050183B"/>
    <w:rsid w:val="00502DDD"/>
    <w:rsid w:val="00503454"/>
    <w:rsid w:val="005111D4"/>
    <w:rsid w:val="00513054"/>
    <w:rsid w:val="00513E7E"/>
    <w:rsid w:val="00514F2B"/>
    <w:rsid w:val="005162B1"/>
    <w:rsid w:val="00516599"/>
    <w:rsid w:val="0052034A"/>
    <w:rsid w:val="00520EA4"/>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57BB"/>
    <w:rsid w:val="00537139"/>
    <w:rsid w:val="00540418"/>
    <w:rsid w:val="0054218C"/>
    <w:rsid w:val="00543F6D"/>
    <w:rsid w:val="00543F97"/>
    <w:rsid w:val="00545527"/>
    <w:rsid w:val="00545F75"/>
    <w:rsid w:val="00545F9F"/>
    <w:rsid w:val="00550363"/>
    <w:rsid w:val="00551999"/>
    <w:rsid w:val="0055233A"/>
    <w:rsid w:val="00553CB3"/>
    <w:rsid w:val="0055463A"/>
    <w:rsid w:val="00556D2F"/>
    <w:rsid w:val="00556DC7"/>
    <w:rsid w:val="0056081A"/>
    <w:rsid w:val="005620D4"/>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137B"/>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B048C"/>
    <w:rsid w:val="005B0F75"/>
    <w:rsid w:val="005B1C69"/>
    <w:rsid w:val="005B33F8"/>
    <w:rsid w:val="005B3728"/>
    <w:rsid w:val="005C02A4"/>
    <w:rsid w:val="005C0524"/>
    <w:rsid w:val="005C0DBF"/>
    <w:rsid w:val="005C0F25"/>
    <w:rsid w:val="005C1613"/>
    <w:rsid w:val="005C1E73"/>
    <w:rsid w:val="005C36E3"/>
    <w:rsid w:val="005C4BC3"/>
    <w:rsid w:val="005C58B3"/>
    <w:rsid w:val="005D0D10"/>
    <w:rsid w:val="005D1457"/>
    <w:rsid w:val="005D296A"/>
    <w:rsid w:val="005D2D11"/>
    <w:rsid w:val="005D3D25"/>
    <w:rsid w:val="005D5223"/>
    <w:rsid w:val="005D568E"/>
    <w:rsid w:val="005D67E1"/>
    <w:rsid w:val="005E07B4"/>
    <w:rsid w:val="005E162B"/>
    <w:rsid w:val="005E39FD"/>
    <w:rsid w:val="005E68A5"/>
    <w:rsid w:val="005E7914"/>
    <w:rsid w:val="005F0A69"/>
    <w:rsid w:val="005F253A"/>
    <w:rsid w:val="005F3B9E"/>
    <w:rsid w:val="005F4F77"/>
    <w:rsid w:val="005F52B3"/>
    <w:rsid w:val="005F5707"/>
    <w:rsid w:val="005F7D1B"/>
    <w:rsid w:val="00600110"/>
    <w:rsid w:val="00600878"/>
    <w:rsid w:val="00601D73"/>
    <w:rsid w:val="00602CD5"/>
    <w:rsid w:val="00602E51"/>
    <w:rsid w:val="00603BFE"/>
    <w:rsid w:val="006049C8"/>
    <w:rsid w:val="00604EB6"/>
    <w:rsid w:val="00605027"/>
    <w:rsid w:val="0060512E"/>
    <w:rsid w:val="0060657D"/>
    <w:rsid w:val="006071BA"/>
    <w:rsid w:val="00611984"/>
    <w:rsid w:val="00612203"/>
    <w:rsid w:val="00612216"/>
    <w:rsid w:val="006132FB"/>
    <w:rsid w:val="006141F9"/>
    <w:rsid w:val="00622823"/>
    <w:rsid w:val="00623ACB"/>
    <w:rsid w:val="006247D5"/>
    <w:rsid w:val="006253D1"/>
    <w:rsid w:val="0063046D"/>
    <w:rsid w:val="00631AAA"/>
    <w:rsid w:val="00632109"/>
    <w:rsid w:val="00632C87"/>
    <w:rsid w:val="006331B3"/>
    <w:rsid w:val="0063488B"/>
    <w:rsid w:val="006356AA"/>
    <w:rsid w:val="00637A48"/>
    <w:rsid w:val="00637C9C"/>
    <w:rsid w:val="006429DB"/>
    <w:rsid w:val="0064409F"/>
    <w:rsid w:val="006441E4"/>
    <w:rsid w:val="006443DF"/>
    <w:rsid w:val="00645997"/>
    <w:rsid w:val="00646603"/>
    <w:rsid w:val="00650760"/>
    <w:rsid w:val="006519BC"/>
    <w:rsid w:val="00651FB7"/>
    <w:rsid w:val="006537A5"/>
    <w:rsid w:val="00653A66"/>
    <w:rsid w:val="0065446E"/>
    <w:rsid w:val="00654B92"/>
    <w:rsid w:val="0065525F"/>
    <w:rsid w:val="00655EB2"/>
    <w:rsid w:val="00657705"/>
    <w:rsid w:val="00660015"/>
    <w:rsid w:val="00661352"/>
    <w:rsid w:val="006619E0"/>
    <w:rsid w:val="00661A17"/>
    <w:rsid w:val="00663540"/>
    <w:rsid w:val="006653EB"/>
    <w:rsid w:val="00667535"/>
    <w:rsid w:val="00672D27"/>
    <w:rsid w:val="0067443A"/>
    <w:rsid w:val="00675B86"/>
    <w:rsid w:val="00677384"/>
    <w:rsid w:val="006774BF"/>
    <w:rsid w:val="006822AA"/>
    <w:rsid w:val="006900AA"/>
    <w:rsid w:val="0069052B"/>
    <w:rsid w:val="00693B49"/>
    <w:rsid w:val="006942ED"/>
    <w:rsid w:val="006944EF"/>
    <w:rsid w:val="006952D9"/>
    <w:rsid w:val="006966D2"/>
    <w:rsid w:val="00696722"/>
    <w:rsid w:val="00696AA9"/>
    <w:rsid w:val="006A04E9"/>
    <w:rsid w:val="006A289F"/>
    <w:rsid w:val="006A291D"/>
    <w:rsid w:val="006A33FB"/>
    <w:rsid w:val="006A7D6D"/>
    <w:rsid w:val="006B1FE7"/>
    <w:rsid w:val="006B4558"/>
    <w:rsid w:val="006B4727"/>
    <w:rsid w:val="006B72E6"/>
    <w:rsid w:val="006C1B54"/>
    <w:rsid w:val="006C2C92"/>
    <w:rsid w:val="006C4213"/>
    <w:rsid w:val="006C54B8"/>
    <w:rsid w:val="006C5BA2"/>
    <w:rsid w:val="006C7E6F"/>
    <w:rsid w:val="006D1933"/>
    <w:rsid w:val="006D2166"/>
    <w:rsid w:val="006D3DF1"/>
    <w:rsid w:val="006D5097"/>
    <w:rsid w:val="006D5AC5"/>
    <w:rsid w:val="006E2D9E"/>
    <w:rsid w:val="006E77DD"/>
    <w:rsid w:val="006E78A6"/>
    <w:rsid w:val="006E7F02"/>
    <w:rsid w:val="006F0CCF"/>
    <w:rsid w:val="006F2058"/>
    <w:rsid w:val="006F23B1"/>
    <w:rsid w:val="006F276A"/>
    <w:rsid w:val="006F288E"/>
    <w:rsid w:val="006F2F5C"/>
    <w:rsid w:val="006F4379"/>
    <w:rsid w:val="006F4C3C"/>
    <w:rsid w:val="006F5412"/>
    <w:rsid w:val="006F6AC2"/>
    <w:rsid w:val="006F74DC"/>
    <w:rsid w:val="007004C7"/>
    <w:rsid w:val="0070074D"/>
    <w:rsid w:val="00702079"/>
    <w:rsid w:val="007025F4"/>
    <w:rsid w:val="00703446"/>
    <w:rsid w:val="0070431B"/>
    <w:rsid w:val="00707693"/>
    <w:rsid w:val="007103D4"/>
    <w:rsid w:val="007149DA"/>
    <w:rsid w:val="007156AF"/>
    <w:rsid w:val="00720256"/>
    <w:rsid w:val="00721EA3"/>
    <w:rsid w:val="0072758C"/>
    <w:rsid w:val="007277F5"/>
    <w:rsid w:val="0073056A"/>
    <w:rsid w:val="00730FA6"/>
    <w:rsid w:val="00731487"/>
    <w:rsid w:val="007314A9"/>
    <w:rsid w:val="00731CA2"/>
    <w:rsid w:val="00732B8A"/>
    <w:rsid w:val="00734272"/>
    <w:rsid w:val="0073556E"/>
    <w:rsid w:val="0073581C"/>
    <w:rsid w:val="00736F40"/>
    <w:rsid w:val="007375D6"/>
    <w:rsid w:val="007420CD"/>
    <w:rsid w:val="00742C34"/>
    <w:rsid w:val="007439D3"/>
    <w:rsid w:val="00743BF7"/>
    <w:rsid w:val="0074488D"/>
    <w:rsid w:val="00751158"/>
    <w:rsid w:val="00753BE8"/>
    <w:rsid w:val="00754388"/>
    <w:rsid w:val="00755CE2"/>
    <w:rsid w:val="00757C3E"/>
    <w:rsid w:val="007615D9"/>
    <w:rsid w:val="00762268"/>
    <w:rsid w:val="00762F48"/>
    <w:rsid w:val="00764D64"/>
    <w:rsid w:val="007655CF"/>
    <w:rsid w:val="007677CE"/>
    <w:rsid w:val="00770054"/>
    <w:rsid w:val="007723AF"/>
    <w:rsid w:val="00773003"/>
    <w:rsid w:val="00773067"/>
    <w:rsid w:val="00773A43"/>
    <w:rsid w:val="00773EBC"/>
    <w:rsid w:val="00774FD3"/>
    <w:rsid w:val="007769DF"/>
    <w:rsid w:val="00776BBF"/>
    <w:rsid w:val="00777069"/>
    <w:rsid w:val="00777439"/>
    <w:rsid w:val="00777526"/>
    <w:rsid w:val="007818C3"/>
    <w:rsid w:val="00782722"/>
    <w:rsid w:val="00782910"/>
    <w:rsid w:val="00786193"/>
    <w:rsid w:val="007909DA"/>
    <w:rsid w:val="00790B78"/>
    <w:rsid w:val="0079158C"/>
    <w:rsid w:val="00794967"/>
    <w:rsid w:val="0079582C"/>
    <w:rsid w:val="00796CB0"/>
    <w:rsid w:val="007972C6"/>
    <w:rsid w:val="007A1F12"/>
    <w:rsid w:val="007A327C"/>
    <w:rsid w:val="007A3544"/>
    <w:rsid w:val="007A40B0"/>
    <w:rsid w:val="007A799B"/>
    <w:rsid w:val="007B2FE4"/>
    <w:rsid w:val="007B36E3"/>
    <w:rsid w:val="007B3E3B"/>
    <w:rsid w:val="007B4793"/>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C18"/>
    <w:rsid w:val="007D6E9A"/>
    <w:rsid w:val="007D78B3"/>
    <w:rsid w:val="007D7D18"/>
    <w:rsid w:val="007E4229"/>
    <w:rsid w:val="007E5962"/>
    <w:rsid w:val="007E6739"/>
    <w:rsid w:val="007E7450"/>
    <w:rsid w:val="007E7A7E"/>
    <w:rsid w:val="007F00B0"/>
    <w:rsid w:val="007F4F8F"/>
    <w:rsid w:val="007F6AFD"/>
    <w:rsid w:val="00800925"/>
    <w:rsid w:val="00800EC0"/>
    <w:rsid w:val="00802736"/>
    <w:rsid w:val="00802877"/>
    <w:rsid w:val="00802B2A"/>
    <w:rsid w:val="00805D8D"/>
    <w:rsid w:val="00807FF7"/>
    <w:rsid w:val="0081033E"/>
    <w:rsid w:val="00810D49"/>
    <w:rsid w:val="008113C8"/>
    <w:rsid w:val="00811DAC"/>
    <w:rsid w:val="00815563"/>
    <w:rsid w:val="00815BB8"/>
    <w:rsid w:val="008167D5"/>
    <w:rsid w:val="008168EE"/>
    <w:rsid w:val="00817DFF"/>
    <w:rsid w:val="00820352"/>
    <w:rsid w:val="00820C71"/>
    <w:rsid w:val="00820DB7"/>
    <w:rsid w:val="00822CD5"/>
    <w:rsid w:val="00823256"/>
    <w:rsid w:val="00823500"/>
    <w:rsid w:val="00826474"/>
    <w:rsid w:val="008276B2"/>
    <w:rsid w:val="00830523"/>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478AC"/>
    <w:rsid w:val="00850642"/>
    <w:rsid w:val="008516F3"/>
    <w:rsid w:val="00856CDA"/>
    <w:rsid w:val="008573E2"/>
    <w:rsid w:val="008620F6"/>
    <w:rsid w:val="008624D8"/>
    <w:rsid w:val="008630BA"/>
    <w:rsid w:val="0086433A"/>
    <w:rsid w:val="008643A9"/>
    <w:rsid w:val="00864C50"/>
    <w:rsid w:val="00864FE6"/>
    <w:rsid w:val="008659FD"/>
    <w:rsid w:val="00866F4E"/>
    <w:rsid w:val="00870F4E"/>
    <w:rsid w:val="00872C30"/>
    <w:rsid w:val="008742BD"/>
    <w:rsid w:val="00874341"/>
    <w:rsid w:val="0087478F"/>
    <w:rsid w:val="00876082"/>
    <w:rsid w:val="0087691B"/>
    <w:rsid w:val="008805C8"/>
    <w:rsid w:val="00881BEF"/>
    <w:rsid w:val="008838EF"/>
    <w:rsid w:val="00883D58"/>
    <w:rsid w:val="00885671"/>
    <w:rsid w:val="00885AD1"/>
    <w:rsid w:val="0089054E"/>
    <w:rsid w:val="00891820"/>
    <w:rsid w:val="00892C87"/>
    <w:rsid w:val="00894C50"/>
    <w:rsid w:val="00895EF7"/>
    <w:rsid w:val="008963AC"/>
    <w:rsid w:val="008966AD"/>
    <w:rsid w:val="008969D8"/>
    <w:rsid w:val="00897AB8"/>
    <w:rsid w:val="00897BFB"/>
    <w:rsid w:val="008A1478"/>
    <w:rsid w:val="008A16E6"/>
    <w:rsid w:val="008A1B6F"/>
    <w:rsid w:val="008A4453"/>
    <w:rsid w:val="008A44D6"/>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0B84"/>
    <w:rsid w:val="008C1333"/>
    <w:rsid w:val="008C155F"/>
    <w:rsid w:val="008C2121"/>
    <w:rsid w:val="008C568D"/>
    <w:rsid w:val="008D0B37"/>
    <w:rsid w:val="008D64D4"/>
    <w:rsid w:val="008D7129"/>
    <w:rsid w:val="008D7680"/>
    <w:rsid w:val="008E12FF"/>
    <w:rsid w:val="008E3652"/>
    <w:rsid w:val="008E3672"/>
    <w:rsid w:val="008E49AB"/>
    <w:rsid w:val="008E5316"/>
    <w:rsid w:val="008F056B"/>
    <w:rsid w:val="008F0CF5"/>
    <w:rsid w:val="008F164F"/>
    <w:rsid w:val="008F235D"/>
    <w:rsid w:val="008F45AC"/>
    <w:rsid w:val="008F4733"/>
    <w:rsid w:val="008F4EF3"/>
    <w:rsid w:val="008F5430"/>
    <w:rsid w:val="008F5933"/>
    <w:rsid w:val="008F5C9C"/>
    <w:rsid w:val="008F6D58"/>
    <w:rsid w:val="008F6EFE"/>
    <w:rsid w:val="008F708E"/>
    <w:rsid w:val="00902118"/>
    <w:rsid w:val="00906016"/>
    <w:rsid w:val="00907C20"/>
    <w:rsid w:val="00910949"/>
    <w:rsid w:val="0091195E"/>
    <w:rsid w:val="0091394B"/>
    <w:rsid w:val="0091566D"/>
    <w:rsid w:val="009159E2"/>
    <w:rsid w:val="0091612C"/>
    <w:rsid w:val="00916652"/>
    <w:rsid w:val="00917A1B"/>
    <w:rsid w:val="00917AC1"/>
    <w:rsid w:val="00917FE3"/>
    <w:rsid w:val="00921AE0"/>
    <w:rsid w:val="00922515"/>
    <w:rsid w:val="00923251"/>
    <w:rsid w:val="00923D9A"/>
    <w:rsid w:val="009244C1"/>
    <w:rsid w:val="0092487E"/>
    <w:rsid w:val="0092553A"/>
    <w:rsid w:val="00927BA4"/>
    <w:rsid w:val="009301F2"/>
    <w:rsid w:val="00932300"/>
    <w:rsid w:val="0093492C"/>
    <w:rsid w:val="009353C2"/>
    <w:rsid w:val="00935A49"/>
    <w:rsid w:val="009364B7"/>
    <w:rsid w:val="0093756D"/>
    <w:rsid w:val="00940901"/>
    <w:rsid w:val="0094113D"/>
    <w:rsid w:val="009418D0"/>
    <w:rsid w:val="00941FB8"/>
    <w:rsid w:val="0094203F"/>
    <w:rsid w:val="009437BD"/>
    <w:rsid w:val="009458FF"/>
    <w:rsid w:val="009463C4"/>
    <w:rsid w:val="009477E1"/>
    <w:rsid w:val="0095031E"/>
    <w:rsid w:val="0095251E"/>
    <w:rsid w:val="00952714"/>
    <w:rsid w:val="00953127"/>
    <w:rsid w:val="00954137"/>
    <w:rsid w:val="00954BB8"/>
    <w:rsid w:val="00955BF1"/>
    <w:rsid w:val="00957043"/>
    <w:rsid w:val="00957060"/>
    <w:rsid w:val="00957510"/>
    <w:rsid w:val="00960EC6"/>
    <w:rsid w:val="0096238F"/>
    <w:rsid w:val="00963062"/>
    <w:rsid w:val="009632A0"/>
    <w:rsid w:val="00964A60"/>
    <w:rsid w:val="00964DCC"/>
    <w:rsid w:val="009650A6"/>
    <w:rsid w:val="009657FF"/>
    <w:rsid w:val="0096610B"/>
    <w:rsid w:val="00966C57"/>
    <w:rsid w:val="00970543"/>
    <w:rsid w:val="0097113C"/>
    <w:rsid w:val="009729F0"/>
    <w:rsid w:val="009743B6"/>
    <w:rsid w:val="009749E4"/>
    <w:rsid w:val="00974D23"/>
    <w:rsid w:val="00975CBF"/>
    <w:rsid w:val="009768AE"/>
    <w:rsid w:val="00980D38"/>
    <w:rsid w:val="0098545B"/>
    <w:rsid w:val="00986365"/>
    <w:rsid w:val="009869E9"/>
    <w:rsid w:val="00986BC3"/>
    <w:rsid w:val="00987EEE"/>
    <w:rsid w:val="00991656"/>
    <w:rsid w:val="00996671"/>
    <w:rsid w:val="009A00D4"/>
    <w:rsid w:val="009A1077"/>
    <w:rsid w:val="009A407A"/>
    <w:rsid w:val="009A6CA9"/>
    <w:rsid w:val="009A6F30"/>
    <w:rsid w:val="009A76C0"/>
    <w:rsid w:val="009B0197"/>
    <w:rsid w:val="009B0DC1"/>
    <w:rsid w:val="009B11E3"/>
    <w:rsid w:val="009B20EA"/>
    <w:rsid w:val="009B2C65"/>
    <w:rsid w:val="009B49CD"/>
    <w:rsid w:val="009B515F"/>
    <w:rsid w:val="009B5552"/>
    <w:rsid w:val="009B64AA"/>
    <w:rsid w:val="009B66AA"/>
    <w:rsid w:val="009B68CB"/>
    <w:rsid w:val="009C26AF"/>
    <w:rsid w:val="009C379E"/>
    <w:rsid w:val="009C4575"/>
    <w:rsid w:val="009C4A84"/>
    <w:rsid w:val="009C5E39"/>
    <w:rsid w:val="009C6E8E"/>
    <w:rsid w:val="009C74FB"/>
    <w:rsid w:val="009D20E7"/>
    <w:rsid w:val="009D5D4C"/>
    <w:rsid w:val="009E13DF"/>
    <w:rsid w:val="009E13F9"/>
    <w:rsid w:val="009E2520"/>
    <w:rsid w:val="009E51F8"/>
    <w:rsid w:val="009E71C0"/>
    <w:rsid w:val="009F239C"/>
    <w:rsid w:val="009F23C4"/>
    <w:rsid w:val="009F270C"/>
    <w:rsid w:val="009F564C"/>
    <w:rsid w:val="009F5E29"/>
    <w:rsid w:val="00A018A3"/>
    <w:rsid w:val="00A01B1B"/>
    <w:rsid w:val="00A02E76"/>
    <w:rsid w:val="00A045DD"/>
    <w:rsid w:val="00A06D66"/>
    <w:rsid w:val="00A073BF"/>
    <w:rsid w:val="00A07E0D"/>
    <w:rsid w:val="00A1075C"/>
    <w:rsid w:val="00A10B76"/>
    <w:rsid w:val="00A14DCC"/>
    <w:rsid w:val="00A16DA6"/>
    <w:rsid w:val="00A22834"/>
    <w:rsid w:val="00A235BA"/>
    <w:rsid w:val="00A23892"/>
    <w:rsid w:val="00A23B93"/>
    <w:rsid w:val="00A33146"/>
    <w:rsid w:val="00A344CA"/>
    <w:rsid w:val="00A35A05"/>
    <w:rsid w:val="00A363B6"/>
    <w:rsid w:val="00A371F2"/>
    <w:rsid w:val="00A37637"/>
    <w:rsid w:val="00A404C5"/>
    <w:rsid w:val="00A421CE"/>
    <w:rsid w:val="00A425D2"/>
    <w:rsid w:val="00A44CF1"/>
    <w:rsid w:val="00A450C9"/>
    <w:rsid w:val="00A45D7D"/>
    <w:rsid w:val="00A46101"/>
    <w:rsid w:val="00A46BF5"/>
    <w:rsid w:val="00A47F7A"/>
    <w:rsid w:val="00A501B6"/>
    <w:rsid w:val="00A50357"/>
    <w:rsid w:val="00A52E61"/>
    <w:rsid w:val="00A54D75"/>
    <w:rsid w:val="00A55A0E"/>
    <w:rsid w:val="00A56327"/>
    <w:rsid w:val="00A56749"/>
    <w:rsid w:val="00A6063E"/>
    <w:rsid w:val="00A634CF"/>
    <w:rsid w:val="00A65407"/>
    <w:rsid w:val="00A70107"/>
    <w:rsid w:val="00A70B74"/>
    <w:rsid w:val="00A74179"/>
    <w:rsid w:val="00A74CAF"/>
    <w:rsid w:val="00A764EF"/>
    <w:rsid w:val="00A8050B"/>
    <w:rsid w:val="00A8077E"/>
    <w:rsid w:val="00A8166B"/>
    <w:rsid w:val="00A83676"/>
    <w:rsid w:val="00A852D6"/>
    <w:rsid w:val="00A85EE5"/>
    <w:rsid w:val="00A86A0C"/>
    <w:rsid w:val="00A8751B"/>
    <w:rsid w:val="00A90730"/>
    <w:rsid w:val="00A90E13"/>
    <w:rsid w:val="00A9143E"/>
    <w:rsid w:val="00A92A29"/>
    <w:rsid w:val="00A94BD0"/>
    <w:rsid w:val="00A94FC9"/>
    <w:rsid w:val="00A95577"/>
    <w:rsid w:val="00A96270"/>
    <w:rsid w:val="00A96C1F"/>
    <w:rsid w:val="00A97E66"/>
    <w:rsid w:val="00AA16F7"/>
    <w:rsid w:val="00AA1AB3"/>
    <w:rsid w:val="00AA3279"/>
    <w:rsid w:val="00AA35F1"/>
    <w:rsid w:val="00AA6498"/>
    <w:rsid w:val="00AA6892"/>
    <w:rsid w:val="00AA7AE3"/>
    <w:rsid w:val="00AB0983"/>
    <w:rsid w:val="00AB2062"/>
    <w:rsid w:val="00AB31F3"/>
    <w:rsid w:val="00AB3613"/>
    <w:rsid w:val="00AB5524"/>
    <w:rsid w:val="00AB5D6A"/>
    <w:rsid w:val="00AB7FCC"/>
    <w:rsid w:val="00AC2CB6"/>
    <w:rsid w:val="00AD27C1"/>
    <w:rsid w:val="00AD344C"/>
    <w:rsid w:val="00AD46DD"/>
    <w:rsid w:val="00AD4F95"/>
    <w:rsid w:val="00AD5E8D"/>
    <w:rsid w:val="00AE0E84"/>
    <w:rsid w:val="00AE2CC1"/>
    <w:rsid w:val="00AE30F7"/>
    <w:rsid w:val="00AE32DD"/>
    <w:rsid w:val="00AF18C2"/>
    <w:rsid w:val="00AF357E"/>
    <w:rsid w:val="00AF4311"/>
    <w:rsid w:val="00AF4C0F"/>
    <w:rsid w:val="00AF4DBC"/>
    <w:rsid w:val="00AF68D1"/>
    <w:rsid w:val="00B006FD"/>
    <w:rsid w:val="00B02718"/>
    <w:rsid w:val="00B0402E"/>
    <w:rsid w:val="00B04DFA"/>
    <w:rsid w:val="00B052B4"/>
    <w:rsid w:val="00B06D4E"/>
    <w:rsid w:val="00B073ED"/>
    <w:rsid w:val="00B10AE5"/>
    <w:rsid w:val="00B10DA4"/>
    <w:rsid w:val="00B11CB7"/>
    <w:rsid w:val="00B143E2"/>
    <w:rsid w:val="00B146E2"/>
    <w:rsid w:val="00B14AB7"/>
    <w:rsid w:val="00B15C1F"/>
    <w:rsid w:val="00B207BD"/>
    <w:rsid w:val="00B22704"/>
    <w:rsid w:val="00B22AC4"/>
    <w:rsid w:val="00B23F18"/>
    <w:rsid w:val="00B263F6"/>
    <w:rsid w:val="00B27A40"/>
    <w:rsid w:val="00B32FA6"/>
    <w:rsid w:val="00B33522"/>
    <w:rsid w:val="00B35B7E"/>
    <w:rsid w:val="00B3680C"/>
    <w:rsid w:val="00B36DB2"/>
    <w:rsid w:val="00B37C20"/>
    <w:rsid w:val="00B41E9F"/>
    <w:rsid w:val="00B42449"/>
    <w:rsid w:val="00B50783"/>
    <w:rsid w:val="00B51469"/>
    <w:rsid w:val="00B5253D"/>
    <w:rsid w:val="00B54550"/>
    <w:rsid w:val="00B558BB"/>
    <w:rsid w:val="00B6039D"/>
    <w:rsid w:val="00B60A59"/>
    <w:rsid w:val="00B611B8"/>
    <w:rsid w:val="00B62B88"/>
    <w:rsid w:val="00B6605D"/>
    <w:rsid w:val="00B67BC6"/>
    <w:rsid w:val="00B73EB9"/>
    <w:rsid w:val="00B808C4"/>
    <w:rsid w:val="00B818B2"/>
    <w:rsid w:val="00B81C74"/>
    <w:rsid w:val="00B82BF9"/>
    <w:rsid w:val="00B83E59"/>
    <w:rsid w:val="00B849EE"/>
    <w:rsid w:val="00B84D02"/>
    <w:rsid w:val="00B850E5"/>
    <w:rsid w:val="00B86673"/>
    <w:rsid w:val="00B870E0"/>
    <w:rsid w:val="00B87589"/>
    <w:rsid w:val="00B95032"/>
    <w:rsid w:val="00B95727"/>
    <w:rsid w:val="00B97444"/>
    <w:rsid w:val="00BA0268"/>
    <w:rsid w:val="00BA1AD8"/>
    <w:rsid w:val="00BA1ADB"/>
    <w:rsid w:val="00BA26B4"/>
    <w:rsid w:val="00BA2940"/>
    <w:rsid w:val="00BA32D0"/>
    <w:rsid w:val="00BA36BE"/>
    <w:rsid w:val="00BA3B1D"/>
    <w:rsid w:val="00BA58E7"/>
    <w:rsid w:val="00BA6E67"/>
    <w:rsid w:val="00BA7B26"/>
    <w:rsid w:val="00BB327F"/>
    <w:rsid w:val="00BB3832"/>
    <w:rsid w:val="00BB7DA9"/>
    <w:rsid w:val="00BC3E0C"/>
    <w:rsid w:val="00BC4AD5"/>
    <w:rsid w:val="00BC6745"/>
    <w:rsid w:val="00BC72E3"/>
    <w:rsid w:val="00BD1AAF"/>
    <w:rsid w:val="00BD248B"/>
    <w:rsid w:val="00BD2A8B"/>
    <w:rsid w:val="00BD3E4E"/>
    <w:rsid w:val="00BD5837"/>
    <w:rsid w:val="00BD74AE"/>
    <w:rsid w:val="00BD7646"/>
    <w:rsid w:val="00BD77D2"/>
    <w:rsid w:val="00BD7BBB"/>
    <w:rsid w:val="00BE0824"/>
    <w:rsid w:val="00BE40CA"/>
    <w:rsid w:val="00BE43B1"/>
    <w:rsid w:val="00BE47DE"/>
    <w:rsid w:val="00BE5B13"/>
    <w:rsid w:val="00BE5D56"/>
    <w:rsid w:val="00BE7A98"/>
    <w:rsid w:val="00BF11E1"/>
    <w:rsid w:val="00C00590"/>
    <w:rsid w:val="00C013A1"/>
    <w:rsid w:val="00C01580"/>
    <w:rsid w:val="00C020A8"/>
    <w:rsid w:val="00C03317"/>
    <w:rsid w:val="00C0654D"/>
    <w:rsid w:val="00C06709"/>
    <w:rsid w:val="00C1028E"/>
    <w:rsid w:val="00C105A6"/>
    <w:rsid w:val="00C10C63"/>
    <w:rsid w:val="00C1279C"/>
    <w:rsid w:val="00C14867"/>
    <w:rsid w:val="00C16822"/>
    <w:rsid w:val="00C16E53"/>
    <w:rsid w:val="00C17841"/>
    <w:rsid w:val="00C22F0D"/>
    <w:rsid w:val="00C23773"/>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4BB7"/>
    <w:rsid w:val="00C66322"/>
    <w:rsid w:val="00C6715B"/>
    <w:rsid w:val="00C704C3"/>
    <w:rsid w:val="00C706E0"/>
    <w:rsid w:val="00C71D1F"/>
    <w:rsid w:val="00C735F9"/>
    <w:rsid w:val="00C74C79"/>
    <w:rsid w:val="00C7680C"/>
    <w:rsid w:val="00C77A1D"/>
    <w:rsid w:val="00C81A32"/>
    <w:rsid w:val="00C81B7E"/>
    <w:rsid w:val="00C83A20"/>
    <w:rsid w:val="00C862B1"/>
    <w:rsid w:val="00C86C59"/>
    <w:rsid w:val="00C87443"/>
    <w:rsid w:val="00C904BE"/>
    <w:rsid w:val="00C90A40"/>
    <w:rsid w:val="00C91C5A"/>
    <w:rsid w:val="00C92668"/>
    <w:rsid w:val="00C95974"/>
    <w:rsid w:val="00C97083"/>
    <w:rsid w:val="00C97412"/>
    <w:rsid w:val="00CA24BE"/>
    <w:rsid w:val="00CA2A37"/>
    <w:rsid w:val="00CA37AE"/>
    <w:rsid w:val="00CA5CDF"/>
    <w:rsid w:val="00CA631E"/>
    <w:rsid w:val="00CA7A99"/>
    <w:rsid w:val="00CB1480"/>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9C0"/>
    <w:rsid w:val="00CD4E92"/>
    <w:rsid w:val="00CD656B"/>
    <w:rsid w:val="00CD6D9A"/>
    <w:rsid w:val="00CD7521"/>
    <w:rsid w:val="00CD7F3F"/>
    <w:rsid w:val="00CE038F"/>
    <w:rsid w:val="00CE04CE"/>
    <w:rsid w:val="00CE45FC"/>
    <w:rsid w:val="00CE5C1A"/>
    <w:rsid w:val="00CF289F"/>
    <w:rsid w:val="00CF2D36"/>
    <w:rsid w:val="00CF342E"/>
    <w:rsid w:val="00CF3770"/>
    <w:rsid w:val="00D00E92"/>
    <w:rsid w:val="00D01486"/>
    <w:rsid w:val="00D055EC"/>
    <w:rsid w:val="00D05E3D"/>
    <w:rsid w:val="00D06FE8"/>
    <w:rsid w:val="00D10F96"/>
    <w:rsid w:val="00D11F33"/>
    <w:rsid w:val="00D12198"/>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23EF"/>
    <w:rsid w:val="00D43342"/>
    <w:rsid w:val="00D4394E"/>
    <w:rsid w:val="00D44728"/>
    <w:rsid w:val="00D45237"/>
    <w:rsid w:val="00D511CD"/>
    <w:rsid w:val="00D52FF5"/>
    <w:rsid w:val="00D55E41"/>
    <w:rsid w:val="00D55F5B"/>
    <w:rsid w:val="00D56088"/>
    <w:rsid w:val="00D562FF"/>
    <w:rsid w:val="00D60DC7"/>
    <w:rsid w:val="00D62468"/>
    <w:rsid w:val="00D628F8"/>
    <w:rsid w:val="00D63571"/>
    <w:rsid w:val="00D66910"/>
    <w:rsid w:val="00D6706B"/>
    <w:rsid w:val="00D700D5"/>
    <w:rsid w:val="00D71A33"/>
    <w:rsid w:val="00D73B4D"/>
    <w:rsid w:val="00D7657E"/>
    <w:rsid w:val="00D80D5B"/>
    <w:rsid w:val="00D83A14"/>
    <w:rsid w:val="00D844B8"/>
    <w:rsid w:val="00D854E6"/>
    <w:rsid w:val="00D8596D"/>
    <w:rsid w:val="00D86C30"/>
    <w:rsid w:val="00D905ED"/>
    <w:rsid w:val="00D91205"/>
    <w:rsid w:val="00D92473"/>
    <w:rsid w:val="00D92C2A"/>
    <w:rsid w:val="00DA1B01"/>
    <w:rsid w:val="00DA4A42"/>
    <w:rsid w:val="00DA5237"/>
    <w:rsid w:val="00DA68FB"/>
    <w:rsid w:val="00DA6BE0"/>
    <w:rsid w:val="00DB3AF6"/>
    <w:rsid w:val="00DB4C18"/>
    <w:rsid w:val="00DB53FB"/>
    <w:rsid w:val="00DC16A9"/>
    <w:rsid w:val="00DC4EE2"/>
    <w:rsid w:val="00DD136E"/>
    <w:rsid w:val="00DD22DD"/>
    <w:rsid w:val="00DD2474"/>
    <w:rsid w:val="00DD29C2"/>
    <w:rsid w:val="00DD2AA9"/>
    <w:rsid w:val="00DD43EF"/>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AC4"/>
    <w:rsid w:val="00E004F0"/>
    <w:rsid w:val="00E007EC"/>
    <w:rsid w:val="00E01158"/>
    <w:rsid w:val="00E03CED"/>
    <w:rsid w:val="00E0449B"/>
    <w:rsid w:val="00E04E64"/>
    <w:rsid w:val="00E06027"/>
    <w:rsid w:val="00E1077F"/>
    <w:rsid w:val="00E119AC"/>
    <w:rsid w:val="00E17516"/>
    <w:rsid w:val="00E21DE3"/>
    <w:rsid w:val="00E22047"/>
    <w:rsid w:val="00E23867"/>
    <w:rsid w:val="00E23A75"/>
    <w:rsid w:val="00E2421E"/>
    <w:rsid w:val="00E25A1C"/>
    <w:rsid w:val="00E26E6E"/>
    <w:rsid w:val="00E30318"/>
    <w:rsid w:val="00E32708"/>
    <w:rsid w:val="00E32B77"/>
    <w:rsid w:val="00E33BBD"/>
    <w:rsid w:val="00E37034"/>
    <w:rsid w:val="00E37782"/>
    <w:rsid w:val="00E40F44"/>
    <w:rsid w:val="00E44022"/>
    <w:rsid w:val="00E442EC"/>
    <w:rsid w:val="00E449D6"/>
    <w:rsid w:val="00E45112"/>
    <w:rsid w:val="00E45664"/>
    <w:rsid w:val="00E505EF"/>
    <w:rsid w:val="00E514F6"/>
    <w:rsid w:val="00E545B2"/>
    <w:rsid w:val="00E549EA"/>
    <w:rsid w:val="00E57C06"/>
    <w:rsid w:val="00E651B5"/>
    <w:rsid w:val="00E65B2D"/>
    <w:rsid w:val="00E660B4"/>
    <w:rsid w:val="00E70E56"/>
    <w:rsid w:val="00E755A9"/>
    <w:rsid w:val="00E75CE5"/>
    <w:rsid w:val="00E768E8"/>
    <w:rsid w:val="00E8055E"/>
    <w:rsid w:val="00E81279"/>
    <w:rsid w:val="00E82195"/>
    <w:rsid w:val="00E828CB"/>
    <w:rsid w:val="00E82F7C"/>
    <w:rsid w:val="00E83362"/>
    <w:rsid w:val="00E849B4"/>
    <w:rsid w:val="00E87962"/>
    <w:rsid w:val="00E90A09"/>
    <w:rsid w:val="00E90D36"/>
    <w:rsid w:val="00E913D9"/>
    <w:rsid w:val="00E91553"/>
    <w:rsid w:val="00E94AAC"/>
    <w:rsid w:val="00E96135"/>
    <w:rsid w:val="00E9721C"/>
    <w:rsid w:val="00EA0D94"/>
    <w:rsid w:val="00EA12F7"/>
    <w:rsid w:val="00EA186A"/>
    <w:rsid w:val="00EA19C2"/>
    <w:rsid w:val="00EA2C6F"/>
    <w:rsid w:val="00EA405B"/>
    <w:rsid w:val="00EA5418"/>
    <w:rsid w:val="00EA5AD0"/>
    <w:rsid w:val="00EA6927"/>
    <w:rsid w:val="00EA6BE9"/>
    <w:rsid w:val="00EB2A4A"/>
    <w:rsid w:val="00EB3D8F"/>
    <w:rsid w:val="00EC0BE3"/>
    <w:rsid w:val="00EC1988"/>
    <w:rsid w:val="00EC1EBD"/>
    <w:rsid w:val="00EC2DFD"/>
    <w:rsid w:val="00EC56A4"/>
    <w:rsid w:val="00EC5C3D"/>
    <w:rsid w:val="00EC5C84"/>
    <w:rsid w:val="00EC5C97"/>
    <w:rsid w:val="00EC61A6"/>
    <w:rsid w:val="00EC7901"/>
    <w:rsid w:val="00ED0858"/>
    <w:rsid w:val="00ED2125"/>
    <w:rsid w:val="00ED319C"/>
    <w:rsid w:val="00ED518E"/>
    <w:rsid w:val="00ED5680"/>
    <w:rsid w:val="00ED6126"/>
    <w:rsid w:val="00ED6894"/>
    <w:rsid w:val="00ED6B12"/>
    <w:rsid w:val="00ED79E2"/>
    <w:rsid w:val="00EE04FF"/>
    <w:rsid w:val="00EE0F4C"/>
    <w:rsid w:val="00EE2F63"/>
    <w:rsid w:val="00EE3D4E"/>
    <w:rsid w:val="00EE46FB"/>
    <w:rsid w:val="00EF2991"/>
    <w:rsid w:val="00EF59BD"/>
    <w:rsid w:val="00EF5CC7"/>
    <w:rsid w:val="00EF62F8"/>
    <w:rsid w:val="00EF7710"/>
    <w:rsid w:val="00F011BD"/>
    <w:rsid w:val="00F016BA"/>
    <w:rsid w:val="00F01B31"/>
    <w:rsid w:val="00F03AE7"/>
    <w:rsid w:val="00F03C78"/>
    <w:rsid w:val="00F057DB"/>
    <w:rsid w:val="00F07D53"/>
    <w:rsid w:val="00F11C4A"/>
    <w:rsid w:val="00F16A95"/>
    <w:rsid w:val="00F177C0"/>
    <w:rsid w:val="00F17C0D"/>
    <w:rsid w:val="00F20F31"/>
    <w:rsid w:val="00F21F02"/>
    <w:rsid w:val="00F233E1"/>
    <w:rsid w:val="00F2612E"/>
    <w:rsid w:val="00F302C1"/>
    <w:rsid w:val="00F304B3"/>
    <w:rsid w:val="00F30A85"/>
    <w:rsid w:val="00F3142D"/>
    <w:rsid w:val="00F31DD1"/>
    <w:rsid w:val="00F32EC8"/>
    <w:rsid w:val="00F34C98"/>
    <w:rsid w:val="00F364E9"/>
    <w:rsid w:val="00F36FF1"/>
    <w:rsid w:val="00F378E3"/>
    <w:rsid w:val="00F40A48"/>
    <w:rsid w:val="00F40A84"/>
    <w:rsid w:val="00F424B7"/>
    <w:rsid w:val="00F436CD"/>
    <w:rsid w:val="00F4519D"/>
    <w:rsid w:val="00F46140"/>
    <w:rsid w:val="00F46965"/>
    <w:rsid w:val="00F50835"/>
    <w:rsid w:val="00F50C0A"/>
    <w:rsid w:val="00F50FC7"/>
    <w:rsid w:val="00F518C4"/>
    <w:rsid w:val="00F52C6D"/>
    <w:rsid w:val="00F53A3B"/>
    <w:rsid w:val="00F54856"/>
    <w:rsid w:val="00F54920"/>
    <w:rsid w:val="00F56F0F"/>
    <w:rsid w:val="00F5748D"/>
    <w:rsid w:val="00F600C9"/>
    <w:rsid w:val="00F60FD7"/>
    <w:rsid w:val="00F619D6"/>
    <w:rsid w:val="00F622F4"/>
    <w:rsid w:val="00F6319C"/>
    <w:rsid w:val="00F6438A"/>
    <w:rsid w:val="00F6724C"/>
    <w:rsid w:val="00F70304"/>
    <w:rsid w:val="00F7273B"/>
    <w:rsid w:val="00F72C8C"/>
    <w:rsid w:val="00F72CE6"/>
    <w:rsid w:val="00F755D0"/>
    <w:rsid w:val="00F77058"/>
    <w:rsid w:val="00F775B3"/>
    <w:rsid w:val="00F8125E"/>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2B78"/>
    <w:rsid w:val="00FB4723"/>
    <w:rsid w:val="00FB6E0E"/>
    <w:rsid w:val="00FC07F4"/>
    <w:rsid w:val="00FC23D9"/>
    <w:rsid w:val="00FC2997"/>
    <w:rsid w:val="00FC3802"/>
    <w:rsid w:val="00FC4A0F"/>
    <w:rsid w:val="00FC4B1B"/>
    <w:rsid w:val="00FC6EA4"/>
    <w:rsid w:val="00FD16BF"/>
    <w:rsid w:val="00FD5A63"/>
    <w:rsid w:val="00FE00AA"/>
    <w:rsid w:val="00FE0968"/>
    <w:rsid w:val="00FE1848"/>
    <w:rsid w:val="00FE3B85"/>
    <w:rsid w:val="00FE4134"/>
    <w:rsid w:val="00FE4810"/>
    <w:rsid w:val="00FE59F7"/>
    <w:rsid w:val="00FE6B37"/>
    <w:rsid w:val="00FE75AC"/>
    <w:rsid w:val="00FE7EF5"/>
    <w:rsid w:val="00FF1630"/>
    <w:rsid w:val="00FF1FEF"/>
    <w:rsid w:val="00FF227C"/>
    <w:rsid w:val="00FF39BB"/>
    <w:rsid w:val="00FF4355"/>
    <w:rsid w:val="00FF4E18"/>
    <w:rsid w:val="00FF574E"/>
    <w:rsid w:val="00FF5A7D"/>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2"/>
    </o:shapelayout>
  </w:shapeDefaults>
  <w:decimalSymbol w:val="."/>
  <w:listSeparator w:val=","/>
  <w14:docId w14:val="6C9BE57D"/>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qFormat/>
    <w:rsid w:val="002615F9"/>
    <w:pPr>
      <w:keepNext/>
      <w:spacing w:before="240" w:after="60" w:line="280" w:lineRule="exact"/>
      <w:jc w:val="both"/>
      <w:outlineLvl w:val="0"/>
    </w:pPr>
    <w:rPr>
      <w:rFonts w:ascii="Arial" w:eastAsia="Times New Roman" w:hAnsi="Arial" w:cs="Arial"/>
      <w:b/>
      <w:bCs/>
      <w:kern w:val="32"/>
      <w:sz w:val="32"/>
      <w:szCs w:val="32"/>
      <w:lang w:eastAsia="es-MX"/>
    </w:rPr>
  </w:style>
  <w:style w:type="paragraph" w:styleId="Ttulo2">
    <w:name w:val="heading 2"/>
    <w:basedOn w:val="Normal"/>
    <w:next w:val="Normal"/>
    <w:link w:val="Ttulo2Car"/>
    <w:qFormat/>
    <w:rsid w:val="002615F9"/>
    <w:pPr>
      <w:keepNext/>
      <w:spacing w:after="0" w:line="240" w:lineRule="exact"/>
      <w:jc w:val="center"/>
      <w:outlineLvl w:val="1"/>
    </w:pPr>
    <w:rPr>
      <w:rFonts w:ascii="Arial" w:eastAsia="Times New Roman" w:hAnsi="Arial" w:cs="Arial"/>
      <w:b/>
      <w:bCs/>
      <w:sz w:val="20"/>
      <w:szCs w:val="24"/>
      <w:lang w:val="es-ES" w:eastAsia="es-ES"/>
    </w:rPr>
  </w:style>
  <w:style w:type="paragraph" w:styleId="Ttulo3">
    <w:name w:val="heading 3"/>
    <w:basedOn w:val="Normal"/>
    <w:next w:val="Normal"/>
    <w:link w:val="Ttulo3Car"/>
    <w:qFormat/>
    <w:rsid w:val="002615F9"/>
    <w:pPr>
      <w:keepNext/>
      <w:spacing w:before="240" w:after="60" w:line="280" w:lineRule="exact"/>
      <w:jc w:val="both"/>
      <w:outlineLvl w:val="2"/>
    </w:pPr>
    <w:rPr>
      <w:rFonts w:ascii="Arial" w:eastAsia="Times New Roman" w:hAnsi="Arial" w:cs="Arial"/>
      <w:b/>
      <w:bCs/>
      <w:sz w:val="26"/>
      <w:szCs w:val="26"/>
      <w:lang w:eastAsia="es-MX"/>
    </w:rPr>
  </w:style>
  <w:style w:type="paragraph" w:styleId="Ttulo4">
    <w:name w:val="heading 4"/>
    <w:basedOn w:val="Normal"/>
    <w:next w:val="Normal"/>
    <w:link w:val="Ttulo4Car"/>
    <w:qFormat/>
    <w:rsid w:val="002615F9"/>
    <w:pPr>
      <w:keepNext/>
      <w:spacing w:after="0" w:line="240" w:lineRule="exact"/>
      <w:outlineLvl w:val="3"/>
    </w:pPr>
    <w:rPr>
      <w:rFonts w:ascii="Arial" w:eastAsia="Times New Roman" w:hAnsi="Arial" w:cs="Arial"/>
      <w:b/>
      <w:bCs/>
      <w:sz w:val="20"/>
      <w:szCs w:val="24"/>
      <w:lang w:val="es-ES_tradnl" w:eastAsia="es-ES"/>
    </w:rPr>
  </w:style>
  <w:style w:type="paragraph" w:styleId="Ttulo5">
    <w:name w:val="heading 5"/>
    <w:basedOn w:val="Normal"/>
    <w:next w:val="Normal"/>
    <w:link w:val="Ttulo5Car"/>
    <w:qFormat/>
    <w:rsid w:val="002615F9"/>
    <w:pPr>
      <w:keepNext/>
      <w:autoSpaceDE w:val="0"/>
      <w:autoSpaceDN w:val="0"/>
      <w:adjustRightInd w:val="0"/>
      <w:spacing w:after="0" w:line="240" w:lineRule="auto"/>
      <w:jc w:val="center"/>
      <w:outlineLvl w:val="4"/>
    </w:pPr>
    <w:rPr>
      <w:rFonts w:ascii="Arial" w:eastAsia="Times New Roman" w:hAnsi="Arial" w:cs="Arial"/>
      <w:b/>
      <w:bCs/>
      <w:color w:val="000000"/>
      <w:sz w:val="16"/>
      <w:szCs w:val="24"/>
      <w:lang w:val="es-ES_tradnl" w:eastAsia="es-ES"/>
    </w:rPr>
  </w:style>
  <w:style w:type="paragraph" w:styleId="Ttulo6">
    <w:name w:val="heading 6"/>
    <w:basedOn w:val="Normal"/>
    <w:next w:val="Normal"/>
    <w:link w:val="Ttulo6Car"/>
    <w:qFormat/>
    <w:rsid w:val="002615F9"/>
    <w:pPr>
      <w:keepNext/>
      <w:autoSpaceDE w:val="0"/>
      <w:autoSpaceDN w:val="0"/>
      <w:adjustRightInd w:val="0"/>
      <w:spacing w:after="0" w:line="240" w:lineRule="auto"/>
      <w:jc w:val="center"/>
      <w:outlineLvl w:val="5"/>
    </w:pPr>
    <w:rPr>
      <w:rFonts w:ascii="Arial Narrow" w:eastAsia="Times New Roman" w:hAnsi="Arial Narrow" w:cs="Arial"/>
      <w:b/>
      <w:bCs/>
      <w:color w:val="000000"/>
      <w:sz w:val="16"/>
      <w:szCs w:val="24"/>
      <w:lang w:val="es-ES" w:eastAsia="es-ES"/>
    </w:rPr>
  </w:style>
  <w:style w:type="paragraph" w:styleId="Ttulo7">
    <w:name w:val="heading 7"/>
    <w:basedOn w:val="Normal"/>
    <w:next w:val="Normal"/>
    <w:link w:val="Ttulo7Car"/>
    <w:qFormat/>
    <w:rsid w:val="002615F9"/>
    <w:pPr>
      <w:keepNext/>
      <w:spacing w:after="0" w:line="240" w:lineRule="auto"/>
      <w:ind w:left="1418"/>
      <w:jc w:val="both"/>
      <w:outlineLvl w:val="6"/>
    </w:pPr>
    <w:rPr>
      <w:rFonts w:ascii="Arial Narrow" w:eastAsia="Times New Roman" w:hAnsi="Arial Narrow" w:cs="Arial"/>
      <w:b/>
      <w:bCs/>
      <w:sz w:val="16"/>
      <w:szCs w:val="24"/>
      <w:lang w:val="es-ES" w:eastAsia="es-ES"/>
    </w:rPr>
  </w:style>
  <w:style w:type="paragraph" w:styleId="Ttulo8">
    <w:name w:val="heading 8"/>
    <w:basedOn w:val="Normal"/>
    <w:next w:val="Normal"/>
    <w:link w:val="Ttulo8Car"/>
    <w:qFormat/>
    <w:rsid w:val="002615F9"/>
    <w:pPr>
      <w:keepNext/>
      <w:spacing w:before="60" w:after="60" w:line="240" w:lineRule="auto"/>
      <w:ind w:left="312" w:hanging="255"/>
      <w:jc w:val="center"/>
      <w:outlineLvl w:val="7"/>
    </w:pPr>
    <w:rPr>
      <w:rFonts w:ascii="Arial" w:eastAsia="Times New Roman" w:hAnsi="Arial" w:cs="Arial"/>
      <w:b/>
      <w:bCs/>
      <w:sz w:val="16"/>
      <w:szCs w:val="24"/>
      <w:lang w:val="es-ES" w:eastAsia="es-ES"/>
    </w:rPr>
  </w:style>
  <w:style w:type="paragraph" w:styleId="Ttulo9">
    <w:name w:val="heading 9"/>
    <w:basedOn w:val="Normal"/>
    <w:next w:val="Normal"/>
    <w:link w:val="Ttulo9Car"/>
    <w:qFormat/>
    <w:rsid w:val="002615F9"/>
    <w:pPr>
      <w:keepNext/>
      <w:framePr w:hSpace="340" w:vSpace="113" w:wrap="around" w:vAnchor="text" w:hAnchor="margin" w:xAlign="right" w:y="71"/>
      <w:autoSpaceDE w:val="0"/>
      <w:autoSpaceDN w:val="0"/>
      <w:adjustRightInd w:val="0"/>
      <w:spacing w:before="60" w:after="0" w:line="240" w:lineRule="auto"/>
      <w:suppressOverlap/>
      <w:jc w:val="center"/>
      <w:outlineLvl w:val="8"/>
    </w:pPr>
    <w:rPr>
      <w:rFonts w:ascii="Arial Narrow" w:eastAsia="Times New Roman" w:hAnsi="Arial Narrow" w:cs="Times New Roman"/>
      <w:b/>
      <w:bCs/>
      <w:color w:val="000000"/>
      <w:sz w:val="16"/>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nota,pie,Letrero,margen,Pie,de,página,margen Car Car"/>
    <w:basedOn w:val="Normal"/>
    <w:link w:val="TextonotapieCar"/>
    <w:uiPriority w:val="99"/>
    <w:unhideWhenUsed/>
    <w:rsid w:val="00EA5418"/>
    <w:pPr>
      <w:spacing w:after="0" w:line="240" w:lineRule="auto"/>
    </w:pPr>
    <w:rPr>
      <w:sz w:val="20"/>
      <w:szCs w:val="20"/>
    </w:rPr>
  </w:style>
  <w:style w:type="character" w:customStyle="1" w:styleId="TextonotapieCar">
    <w:name w:val="Texto nota pie Car"/>
    <w:aliases w:val="nota Car,pie Car,Letrero Car,margen Car,Pie Car,de Car,página Car,margen Car Car Car"/>
    <w:basedOn w:val="Fuentedeprrafopredeter"/>
    <w:link w:val="Textonotapie"/>
    <w:uiPriority w:val="99"/>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aliases w:val="independiente"/>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99"/>
    <w:qFormat/>
    <w:rsid w:val="0079582C"/>
    <w:pPr>
      <w:ind w:left="720"/>
      <w:contextualSpacing/>
    </w:pPr>
  </w:style>
  <w:style w:type="table" w:styleId="Tablaconcuadrcula">
    <w:name w:val="Table Grid"/>
    <w:basedOn w:val="Tablanormal"/>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rsid w:val="002615F9"/>
    <w:rPr>
      <w:rFonts w:ascii="Arial" w:eastAsia="Times New Roman" w:hAnsi="Arial" w:cs="Arial"/>
      <w:b/>
      <w:bCs/>
      <w:kern w:val="32"/>
      <w:sz w:val="32"/>
      <w:szCs w:val="32"/>
      <w:lang w:eastAsia="es-MX"/>
    </w:rPr>
  </w:style>
  <w:style w:type="character" w:customStyle="1" w:styleId="Ttulo2Car">
    <w:name w:val="Título 2 Car"/>
    <w:basedOn w:val="Fuentedeprrafopredeter"/>
    <w:link w:val="Ttulo2"/>
    <w:rsid w:val="002615F9"/>
    <w:rPr>
      <w:rFonts w:ascii="Arial" w:eastAsia="Times New Roman" w:hAnsi="Arial" w:cs="Arial"/>
      <w:b/>
      <w:bCs/>
      <w:sz w:val="20"/>
      <w:szCs w:val="24"/>
      <w:lang w:val="es-ES" w:eastAsia="es-ES"/>
    </w:rPr>
  </w:style>
  <w:style w:type="character" w:customStyle="1" w:styleId="Ttulo3Car">
    <w:name w:val="Título 3 Car"/>
    <w:basedOn w:val="Fuentedeprrafopredeter"/>
    <w:link w:val="Ttulo3"/>
    <w:rsid w:val="002615F9"/>
    <w:rPr>
      <w:rFonts w:ascii="Arial" w:eastAsia="Times New Roman" w:hAnsi="Arial" w:cs="Arial"/>
      <w:b/>
      <w:bCs/>
      <w:sz w:val="26"/>
      <w:szCs w:val="26"/>
      <w:lang w:eastAsia="es-MX"/>
    </w:rPr>
  </w:style>
  <w:style w:type="character" w:customStyle="1" w:styleId="Ttulo4Car">
    <w:name w:val="Título 4 Car"/>
    <w:basedOn w:val="Fuentedeprrafopredeter"/>
    <w:link w:val="Ttulo4"/>
    <w:rsid w:val="002615F9"/>
    <w:rPr>
      <w:rFonts w:ascii="Arial" w:eastAsia="Times New Roman" w:hAnsi="Arial" w:cs="Arial"/>
      <w:b/>
      <w:bCs/>
      <w:sz w:val="20"/>
      <w:szCs w:val="24"/>
      <w:lang w:val="es-ES_tradnl" w:eastAsia="es-ES"/>
    </w:rPr>
  </w:style>
  <w:style w:type="character" w:customStyle="1" w:styleId="Ttulo5Car">
    <w:name w:val="Título 5 Car"/>
    <w:basedOn w:val="Fuentedeprrafopredeter"/>
    <w:link w:val="Ttulo5"/>
    <w:rsid w:val="002615F9"/>
    <w:rPr>
      <w:rFonts w:ascii="Arial" w:eastAsia="Times New Roman" w:hAnsi="Arial" w:cs="Arial"/>
      <w:b/>
      <w:bCs/>
      <w:color w:val="000000"/>
      <w:sz w:val="16"/>
      <w:szCs w:val="24"/>
      <w:lang w:val="es-ES_tradnl" w:eastAsia="es-ES"/>
    </w:rPr>
  </w:style>
  <w:style w:type="character" w:customStyle="1" w:styleId="Ttulo6Car">
    <w:name w:val="Título 6 Car"/>
    <w:basedOn w:val="Fuentedeprrafopredeter"/>
    <w:link w:val="Ttulo6"/>
    <w:rsid w:val="002615F9"/>
    <w:rPr>
      <w:rFonts w:ascii="Arial Narrow" w:eastAsia="Times New Roman" w:hAnsi="Arial Narrow" w:cs="Arial"/>
      <w:b/>
      <w:bCs/>
      <w:color w:val="000000"/>
      <w:sz w:val="16"/>
      <w:szCs w:val="24"/>
      <w:lang w:val="es-ES" w:eastAsia="es-ES"/>
    </w:rPr>
  </w:style>
  <w:style w:type="character" w:customStyle="1" w:styleId="Ttulo7Car">
    <w:name w:val="Título 7 Car"/>
    <w:basedOn w:val="Fuentedeprrafopredeter"/>
    <w:link w:val="Ttulo7"/>
    <w:rsid w:val="002615F9"/>
    <w:rPr>
      <w:rFonts w:ascii="Arial Narrow" w:eastAsia="Times New Roman" w:hAnsi="Arial Narrow" w:cs="Arial"/>
      <w:b/>
      <w:bCs/>
      <w:sz w:val="16"/>
      <w:szCs w:val="24"/>
      <w:lang w:val="es-ES" w:eastAsia="es-ES"/>
    </w:rPr>
  </w:style>
  <w:style w:type="character" w:customStyle="1" w:styleId="Ttulo8Car">
    <w:name w:val="Título 8 Car"/>
    <w:basedOn w:val="Fuentedeprrafopredeter"/>
    <w:link w:val="Ttulo8"/>
    <w:rsid w:val="002615F9"/>
    <w:rPr>
      <w:rFonts w:ascii="Arial" w:eastAsia="Times New Roman" w:hAnsi="Arial" w:cs="Arial"/>
      <w:b/>
      <w:bCs/>
      <w:sz w:val="16"/>
      <w:szCs w:val="24"/>
      <w:lang w:val="es-ES" w:eastAsia="es-ES"/>
    </w:rPr>
  </w:style>
  <w:style w:type="character" w:customStyle="1" w:styleId="Ttulo9Car">
    <w:name w:val="Título 9 Car"/>
    <w:basedOn w:val="Fuentedeprrafopredeter"/>
    <w:link w:val="Ttulo9"/>
    <w:rsid w:val="002615F9"/>
    <w:rPr>
      <w:rFonts w:ascii="Arial Narrow" w:eastAsia="Times New Roman" w:hAnsi="Arial Narrow" w:cs="Times New Roman"/>
      <w:b/>
      <w:bCs/>
      <w:color w:val="000000"/>
      <w:sz w:val="16"/>
      <w:szCs w:val="24"/>
      <w:lang w:val="es-ES" w:eastAsia="es-ES"/>
    </w:rPr>
  </w:style>
  <w:style w:type="paragraph" w:customStyle="1" w:styleId="CharCar">
    <w:name w:val="Char Car"/>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Nmerodepgina">
    <w:name w:val="page number"/>
    <w:basedOn w:val="Fuentedeprrafopredeter"/>
    <w:rsid w:val="002615F9"/>
  </w:style>
  <w:style w:type="paragraph" w:customStyle="1" w:styleId="PRIMERPARRAFO">
    <w:name w:val="PRIMER PARRAFO"/>
    <w:rsid w:val="002615F9"/>
    <w:pPr>
      <w:spacing w:after="240" w:line="240" w:lineRule="exact"/>
      <w:jc w:val="both"/>
    </w:pPr>
    <w:rPr>
      <w:rFonts w:ascii="Times New Roman" w:eastAsia="Times New Roman" w:hAnsi="Times New Roman" w:cs="Times New Roman"/>
      <w:sz w:val="20"/>
      <w:szCs w:val="20"/>
      <w:lang w:val="es-ES_tradnl" w:eastAsia="es-ES"/>
    </w:rPr>
  </w:style>
  <w:style w:type="paragraph" w:customStyle="1" w:styleId="Cabeza">
    <w:name w:val="Cabeza"/>
    <w:rsid w:val="002615F9"/>
    <w:pPr>
      <w:spacing w:after="0" w:line="240" w:lineRule="auto"/>
    </w:pPr>
    <w:rPr>
      <w:rFonts w:ascii="Arial" w:eastAsia="Times New Roman" w:hAnsi="Arial" w:cs="Times New Roman"/>
      <w:color w:val="000000"/>
      <w:sz w:val="20"/>
      <w:szCs w:val="20"/>
      <w:lang w:eastAsia="es-ES"/>
    </w:rPr>
  </w:style>
  <w:style w:type="paragraph" w:customStyle="1" w:styleId="VIETACar">
    <w:name w:val="_VIÑETA Car"/>
    <w:aliases w:val="NEGRA Car"/>
    <w:basedOn w:val="Normal"/>
    <w:rsid w:val="002615F9"/>
    <w:pPr>
      <w:tabs>
        <w:tab w:val="num" w:pos="340"/>
      </w:tabs>
      <w:spacing w:before="110" w:after="110" w:line="260" w:lineRule="exact"/>
      <w:ind w:left="340" w:hanging="340"/>
      <w:jc w:val="both"/>
    </w:pPr>
    <w:rPr>
      <w:rFonts w:ascii="Arial Narrow" w:eastAsia="Times New Roman" w:hAnsi="Arial Narrow" w:cs="Times New Roman"/>
      <w:sz w:val="21"/>
      <w:szCs w:val="24"/>
      <w:lang w:val="es-ES" w:eastAsia="es-ES"/>
    </w:rPr>
  </w:style>
  <w:style w:type="paragraph" w:styleId="Textoindependiente">
    <w:name w:val="Body Text"/>
    <w:aliases w:val="Letrero margen"/>
    <w:basedOn w:val="Normal"/>
    <w:link w:val="TextoindependienteCar"/>
    <w:rsid w:val="002615F9"/>
    <w:pPr>
      <w:autoSpaceDE w:val="0"/>
      <w:autoSpaceDN w:val="0"/>
      <w:adjustRightInd w:val="0"/>
      <w:spacing w:after="0" w:line="240" w:lineRule="auto"/>
      <w:jc w:val="center"/>
    </w:pPr>
    <w:rPr>
      <w:rFonts w:ascii="Arial" w:eastAsia="Times New Roman" w:hAnsi="Arial" w:cs="Arial"/>
      <w:color w:val="000000"/>
      <w:sz w:val="14"/>
      <w:szCs w:val="14"/>
      <w:lang w:val="es-ES_tradnl" w:eastAsia="es-ES"/>
    </w:rPr>
  </w:style>
  <w:style w:type="character" w:customStyle="1" w:styleId="TextoindependienteCar">
    <w:name w:val="Texto independiente Car"/>
    <w:aliases w:val="Letrero margen Car"/>
    <w:basedOn w:val="Fuentedeprrafopredeter"/>
    <w:link w:val="Textoindependiente"/>
    <w:rsid w:val="002615F9"/>
    <w:rPr>
      <w:rFonts w:ascii="Arial" w:eastAsia="Times New Roman" w:hAnsi="Arial" w:cs="Arial"/>
      <w:color w:val="000000"/>
      <w:sz w:val="14"/>
      <w:szCs w:val="14"/>
      <w:lang w:val="es-ES_tradnl" w:eastAsia="es-ES"/>
    </w:rPr>
  </w:style>
  <w:style w:type="paragraph" w:customStyle="1" w:styleId="xl23">
    <w:name w:val="xl23"/>
    <w:basedOn w:val="Normal"/>
    <w:rsid w:val="002615F9"/>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customStyle="1" w:styleId="xl22">
    <w:name w:val="xl22"/>
    <w:basedOn w:val="Normal"/>
    <w:rsid w:val="002615F9"/>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Estilo1">
    <w:name w:val="Estilo1"/>
    <w:basedOn w:val="Normal"/>
    <w:autoRedefine/>
    <w:rsid w:val="002615F9"/>
    <w:pPr>
      <w:spacing w:before="60" w:after="0" w:line="240" w:lineRule="auto"/>
      <w:jc w:val="both"/>
    </w:pPr>
    <w:rPr>
      <w:rFonts w:ascii="Arial Narrow" w:eastAsia="Times New Roman" w:hAnsi="Arial Narrow" w:cs="Arial"/>
      <w:sz w:val="16"/>
      <w:szCs w:val="24"/>
      <w:lang w:val="es-ES_tradnl" w:eastAsia="es-ES"/>
    </w:rPr>
  </w:style>
  <w:style w:type="character" w:customStyle="1" w:styleId="Negritas">
    <w:name w:val="Negritas"/>
    <w:aliases w:val="Parrafo"/>
    <w:rsid w:val="002615F9"/>
    <w:rPr>
      <w:b/>
      <w:sz w:val="20"/>
    </w:rPr>
  </w:style>
  <w:style w:type="paragraph" w:styleId="Textoindependiente3">
    <w:name w:val="Body Text 3"/>
    <w:basedOn w:val="Normal"/>
    <w:link w:val="Textoindependiente3Car"/>
    <w:rsid w:val="002615F9"/>
    <w:pPr>
      <w:autoSpaceDE w:val="0"/>
      <w:autoSpaceDN w:val="0"/>
      <w:adjustRightInd w:val="0"/>
      <w:spacing w:after="60" w:line="240" w:lineRule="auto"/>
      <w:jc w:val="both"/>
    </w:pPr>
    <w:rPr>
      <w:rFonts w:ascii="Arial" w:eastAsia="Times New Roman" w:hAnsi="Arial" w:cs="Arial"/>
      <w:b/>
      <w:bCs/>
      <w:color w:val="000000"/>
      <w:sz w:val="18"/>
      <w:szCs w:val="14"/>
      <w:lang w:val="es-ES_tradnl" w:eastAsia="es-ES"/>
    </w:rPr>
  </w:style>
  <w:style w:type="character" w:customStyle="1" w:styleId="Textoindependiente3Car">
    <w:name w:val="Texto independiente 3 Car"/>
    <w:basedOn w:val="Fuentedeprrafopredeter"/>
    <w:link w:val="Textoindependiente3"/>
    <w:rsid w:val="002615F9"/>
    <w:rPr>
      <w:rFonts w:ascii="Arial" w:eastAsia="Times New Roman" w:hAnsi="Arial" w:cs="Arial"/>
      <w:b/>
      <w:bCs/>
      <w:color w:val="000000"/>
      <w:sz w:val="18"/>
      <w:szCs w:val="14"/>
      <w:lang w:val="es-ES_tradnl" w:eastAsia="es-ES"/>
    </w:rPr>
  </w:style>
  <w:style w:type="paragraph" w:styleId="Textoindependiente2">
    <w:name w:val="Body Text 2"/>
    <w:basedOn w:val="Normal"/>
    <w:link w:val="Textoindependiente2Car"/>
    <w:rsid w:val="002615F9"/>
    <w:pPr>
      <w:autoSpaceDE w:val="0"/>
      <w:autoSpaceDN w:val="0"/>
      <w:adjustRightInd w:val="0"/>
      <w:spacing w:after="60" w:line="240" w:lineRule="auto"/>
      <w:jc w:val="both"/>
    </w:pPr>
    <w:rPr>
      <w:rFonts w:ascii="Arial" w:eastAsia="Times New Roman" w:hAnsi="Arial" w:cs="Arial"/>
      <w:color w:val="000000"/>
      <w:sz w:val="16"/>
      <w:szCs w:val="14"/>
      <w:lang w:val="es-ES_tradnl" w:eastAsia="es-ES"/>
    </w:rPr>
  </w:style>
  <w:style w:type="character" w:customStyle="1" w:styleId="Textoindependiente2Car">
    <w:name w:val="Texto independiente 2 Car"/>
    <w:basedOn w:val="Fuentedeprrafopredeter"/>
    <w:link w:val="Textoindependiente2"/>
    <w:rsid w:val="002615F9"/>
    <w:rPr>
      <w:rFonts w:ascii="Arial" w:eastAsia="Times New Roman" w:hAnsi="Arial" w:cs="Arial"/>
      <w:color w:val="000000"/>
      <w:sz w:val="16"/>
      <w:szCs w:val="14"/>
      <w:lang w:val="es-ES_tradnl" w:eastAsia="es-ES"/>
    </w:rPr>
  </w:style>
  <w:style w:type="paragraph" w:styleId="Ttulo">
    <w:name w:val="Title"/>
    <w:basedOn w:val="Normal"/>
    <w:link w:val="TtuloCar"/>
    <w:qFormat/>
    <w:rsid w:val="002615F9"/>
    <w:pPr>
      <w:spacing w:after="0" w:line="240" w:lineRule="exact"/>
      <w:jc w:val="center"/>
    </w:pPr>
    <w:rPr>
      <w:rFonts w:ascii="Arial" w:eastAsia="Times New Roman" w:hAnsi="Arial" w:cs="Arial"/>
      <w:b/>
      <w:bCs/>
      <w:sz w:val="20"/>
      <w:szCs w:val="24"/>
      <w:lang w:val="es-ES" w:eastAsia="es-ES"/>
    </w:rPr>
  </w:style>
  <w:style w:type="character" w:customStyle="1" w:styleId="TtuloCar">
    <w:name w:val="Título Car"/>
    <w:basedOn w:val="Fuentedeprrafopredeter"/>
    <w:link w:val="Ttulo"/>
    <w:rsid w:val="002615F9"/>
    <w:rPr>
      <w:rFonts w:ascii="Arial" w:eastAsia="Times New Roman" w:hAnsi="Arial" w:cs="Arial"/>
      <w:b/>
      <w:bCs/>
      <w:sz w:val="20"/>
      <w:szCs w:val="24"/>
      <w:lang w:val="es-ES" w:eastAsia="es-ES"/>
    </w:rPr>
  </w:style>
  <w:style w:type="paragraph" w:styleId="Textocomentario">
    <w:name w:val="annotation text"/>
    <w:basedOn w:val="Normal"/>
    <w:link w:val="TextocomentarioCar"/>
    <w:semiHidden/>
    <w:rsid w:val="002615F9"/>
    <w:pPr>
      <w:spacing w:after="0" w:line="240" w:lineRule="auto"/>
      <w:jc w:val="both"/>
    </w:pPr>
    <w:rPr>
      <w:rFonts w:ascii="Arial" w:eastAsia="Times New Roman" w:hAnsi="Arial" w:cs="Times New Roman"/>
      <w:sz w:val="20"/>
      <w:szCs w:val="20"/>
      <w:lang w:val="es-ES_tradnl" w:eastAsia="x-none"/>
    </w:rPr>
  </w:style>
  <w:style w:type="character" w:customStyle="1" w:styleId="TextocomentarioCar">
    <w:name w:val="Texto comentario Car"/>
    <w:basedOn w:val="Fuentedeprrafopredeter"/>
    <w:link w:val="Textocomentario"/>
    <w:semiHidden/>
    <w:rsid w:val="002615F9"/>
    <w:rPr>
      <w:rFonts w:ascii="Arial" w:eastAsia="Times New Roman" w:hAnsi="Arial" w:cs="Times New Roman"/>
      <w:sz w:val="20"/>
      <w:szCs w:val="20"/>
      <w:lang w:val="es-ES_tradnl" w:eastAsia="x-none"/>
    </w:rPr>
  </w:style>
  <w:style w:type="paragraph" w:customStyle="1" w:styleId="xl24">
    <w:name w:val="xl24"/>
    <w:basedOn w:val="Normal"/>
    <w:rsid w:val="002615F9"/>
    <w:pPr>
      <w:spacing w:before="100" w:beforeAutospacing="1" w:after="100" w:afterAutospacing="1" w:line="240" w:lineRule="auto"/>
    </w:pPr>
    <w:rPr>
      <w:rFonts w:ascii="Univers" w:eastAsia="Arial Unicode MS" w:hAnsi="Univers" w:cs="Arial Unicode MS"/>
      <w:sz w:val="14"/>
      <w:szCs w:val="14"/>
      <w:lang w:val="es-ES" w:eastAsia="es-ES"/>
    </w:rPr>
  </w:style>
  <w:style w:type="paragraph" w:customStyle="1" w:styleId="xl25">
    <w:name w:val="xl25"/>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6">
    <w:name w:val="xl26"/>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7">
    <w:name w:val="xl27"/>
    <w:basedOn w:val="Normal"/>
    <w:rsid w:val="002615F9"/>
    <w:pPr>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28">
    <w:name w:val="xl28"/>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9">
    <w:name w:val="xl29"/>
    <w:basedOn w:val="Normal"/>
    <w:rsid w:val="002615F9"/>
    <w:pPr>
      <w:pBdr>
        <w:top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0">
    <w:name w:val="xl30"/>
    <w:basedOn w:val="Normal"/>
    <w:rsid w:val="002615F9"/>
    <w:pPr>
      <w:pBdr>
        <w:top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1">
    <w:name w:val="xl31"/>
    <w:basedOn w:val="Normal"/>
    <w:rsid w:val="002615F9"/>
    <w:pPr>
      <w:pBdr>
        <w:top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32">
    <w:name w:val="xl32"/>
    <w:basedOn w:val="Normal"/>
    <w:rsid w:val="002615F9"/>
    <w:pP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3">
    <w:name w:val="xl33"/>
    <w:basedOn w:val="Normal"/>
    <w:rsid w:val="002615F9"/>
    <w:pP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4">
    <w:name w:val="xl34"/>
    <w:basedOn w:val="Normal"/>
    <w:rsid w:val="002615F9"/>
    <w:pPr>
      <w:pBdr>
        <w:bottom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5">
    <w:name w:val="xl35"/>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6">
    <w:name w:val="xl36"/>
    <w:basedOn w:val="Normal"/>
    <w:rsid w:val="002615F9"/>
    <w:pPr>
      <w:pBdr>
        <w:top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7">
    <w:name w:val="xl3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8">
    <w:name w:val="xl38"/>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9">
    <w:name w:val="xl3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0">
    <w:name w:val="xl40"/>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1">
    <w:name w:val="xl41"/>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2">
    <w:name w:val="xl42"/>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3">
    <w:name w:val="xl43"/>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4">
    <w:name w:val="xl44"/>
    <w:basedOn w:val="Normal"/>
    <w:rsid w:val="002615F9"/>
    <w:pPr>
      <w:pBdr>
        <w:top w:val="single" w:sz="4" w:space="0" w:color="auto"/>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45">
    <w:name w:val="xl45"/>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6">
    <w:name w:val="xl46"/>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7">
    <w:name w:val="xl4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8">
    <w:name w:val="xl48"/>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9">
    <w:name w:val="xl4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0">
    <w:name w:val="xl50"/>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1">
    <w:name w:val="xl51"/>
    <w:basedOn w:val="Normal"/>
    <w:rsid w:val="002615F9"/>
    <w:pP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52">
    <w:name w:val="xl52"/>
    <w:basedOn w:val="Normal"/>
    <w:rsid w:val="002615F9"/>
    <w:pPr>
      <w:pBdr>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BodyText21">
    <w:name w:val="Body Text 21"/>
    <w:basedOn w:val="Normal"/>
    <w:rsid w:val="002615F9"/>
    <w:pPr>
      <w:spacing w:after="0" w:line="240" w:lineRule="auto"/>
      <w:jc w:val="both"/>
    </w:pPr>
    <w:rPr>
      <w:rFonts w:ascii="Arial" w:eastAsia="Times New Roman" w:hAnsi="Arial" w:cs="Times New Roman"/>
      <w:sz w:val="24"/>
      <w:szCs w:val="20"/>
      <w:lang w:val="es-ES_tradnl" w:eastAsia="es-ES"/>
    </w:rPr>
  </w:style>
  <w:style w:type="paragraph" w:customStyle="1" w:styleId="texto0">
    <w:name w:val="texto"/>
    <w:basedOn w:val="Normal"/>
    <w:rsid w:val="002615F9"/>
    <w:pPr>
      <w:spacing w:after="101" w:line="216" w:lineRule="atLeast"/>
      <w:ind w:firstLine="288"/>
      <w:jc w:val="both"/>
    </w:pPr>
    <w:rPr>
      <w:rFonts w:ascii="Arial" w:eastAsia="Times New Roman" w:hAnsi="Arial" w:cs="Arial"/>
      <w:sz w:val="18"/>
      <w:szCs w:val="20"/>
      <w:lang w:val="es-ES_tradnl" w:eastAsia="es-MX"/>
    </w:rPr>
  </w:style>
  <w:style w:type="paragraph" w:styleId="Sangra3detindependiente">
    <w:name w:val="Body Text Indent 3"/>
    <w:basedOn w:val="Normal"/>
    <w:link w:val="Sangra3detindependienteCar"/>
    <w:rsid w:val="002615F9"/>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2615F9"/>
    <w:rPr>
      <w:rFonts w:ascii="Times New Roman" w:eastAsia="Times New Roman" w:hAnsi="Times New Roman" w:cs="Times New Roman"/>
      <w:sz w:val="16"/>
      <w:szCs w:val="16"/>
      <w:lang w:val="es-ES" w:eastAsia="es-ES"/>
    </w:rPr>
  </w:style>
  <w:style w:type="paragraph" w:customStyle="1" w:styleId="WW-Sangra3detindependiente">
    <w:name w:val="WW-Sangría 3 de t. independiente"/>
    <w:basedOn w:val="Normal"/>
    <w:rsid w:val="002615F9"/>
    <w:pPr>
      <w:suppressAutoHyphens/>
      <w:spacing w:after="0" w:line="240" w:lineRule="auto"/>
      <w:ind w:left="540" w:firstLine="1"/>
      <w:jc w:val="both"/>
    </w:pPr>
    <w:rPr>
      <w:rFonts w:ascii="Arial" w:eastAsia="Times New Roman" w:hAnsi="Arial" w:cs="Times New Roman"/>
      <w:color w:val="000000"/>
      <w:sz w:val="24"/>
      <w:szCs w:val="20"/>
      <w:lang w:val="es-ES" w:eastAsia="es-MX"/>
    </w:rPr>
  </w:style>
  <w:style w:type="paragraph" w:styleId="Textonotaalfinal">
    <w:name w:val="endnote text"/>
    <w:basedOn w:val="Normal"/>
    <w:link w:val="TextonotaalfinalCar"/>
    <w:rsid w:val="002615F9"/>
    <w:pPr>
      <w:spacing w:after="0" w:line="240" w:lineRule="auto"/>
      <w:jc w:val="both"/>
    </w:pPr>
    <w:rPr>
      <w:rFonts w:ascii="Arial" w:eastAsia="Times New Roman" w:hAnsi="Arial" w:cs="Times New Roman"/>
      <w:sz w:val="20"/>
      <w:szCs w:val="20"/>
      <w:lang w:val="x-none" w:eastAsia="es-ES"/>
    </w:rPr>
  </w:style>
  <w:style w:type="character" w:customStyle="1" w:styleId="TextonotaalfinalCar">
    <w:name w:val="Texto nota al final Car"/>
    <w:basedOn w:val="Fuentedeprrafopredeter"/>
    <w:link w:val="Textonotaalfinal"/>
    <w:rsid w:val="002615F9"/>
    <w:rPr>
      <w:rFonts w:ascii="Arial" w:eastAsia="Times New Roman" w:hAnsi="Arial" w:cs="Times New Roman"/>
      <w:sz w:val="20"/>
      <w:szCs w:val="20"/>
      <w:lang w:val="x-none" w:eastAsia="es-ES"/>
    </w:rPr>
  </w:style>
  <w:style w:type="character" w:styleId="Refdenotaalfinal">
    <w:name w:val="endnote reference"/>
    <w:rsid w:val="002615F9"/>
    <w:rPr>
      <w:vertAlign w:val="superscript"/>
    </w:rPr>
  </w:style>
  <w:style w:type="paragraph" w:customStyle="1" w:styleId="CharCar2">
    <w:name w:val="Char Car2"/>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Refdecomentario">
    <w:name w:val="annotation reference"/>
    <w:rsid w:val="002615F9"/>
    <w:rPr>
      <w:sz w:val="16"/>
      <w:szCs w:val="16"/>
    </w:rPr>
  </w:style>
  <w:style w:type="paragraph" w:styleId="Asuntodelcomentario">
    <w:name w:val="annotation subject"/>
    <w:basedOn w:val="Textocomentario"/>
    <w:next w:val="Textocomentario"/>
    <w:link w:val="AsuntodelcomentarioCar"/>
    <w:rsid w:val="002615F9"/>
    <w:pPr>
      <w:spacing w:after="240"/>
    </w:pPr>
    <w:rPr>
      <w:b/>
      <w:bCs/>
      <w:lang w:val="es-MX"/>
    </w:rPr>
  </w:style>
  <w:style w:type="character" w:customStyle="1" w:styleId="AsuntodelcomentarioCar">
    <w:name w:val="Asunto del comentario Car"/>
    <w:basedOn w:val="TextocomentarioCar"/>
    <w:link w:val="Asuntodelcomentario"/>
    <w:rsid w:val="002615F9"/>
    <w:rPr>
      <w:rFonts w:ascii="Arial" w:eastAsia="Times New Roman" w:hAnsi="Arial" w:cs="Times New Roman"/>
      <w:b/>
      <w:bCs/>
      <w:sz w:val="20"/>
      <w:szCs w:val="20"/>
      <w:lang w:val="es-ES_tradnl" w:eastAsia="x-none"/>
    </w:rPr>
  </w:style>
  <w:style w:type="character" w:styleId="nfasis">
    <w:name w:val="Emphasis"/>
    <w:qFormat/>
    <w:rsid w:val="002615F9"/>
    <w:rPr>
      <w:i/>
      <w:iCs/>
    </w:rPr>
  </w:style>
  <w:style w:type="paragraph" w:styleId="Subttulo">
    <w:name w:val="Subtitle"/>
    <w:basedOn w:val="Normal"/>
    <w:next w:val="Normal"/>
    <w:link w:val="SubttuloCar"/>
    <w:qFormat/>
    <w:rsid w:val="002615F9"/>
    <w:pPr>
      <w:spacing w:after="60" w:line="240" w:lineRule="auto"/>
      <w:jc w:val="center"/>
      <w:outlineLvl w:val="1"/>
    </w:pPr>
    <w:rPr>
      <w:rFonts w:ascii="Cambria" w:eastAsia="Times New Roman" w:hAnsi="Cambria" w:cs="Times New Roman"/>
      <w:sz w:val="24"/>
      <w:szCs w:val="24"/>
      <w:lang w:eastAsia="x-none"/>
    </w:rPr>
  </w:style>
  <w:style w:type="character" w:customStyle="1" w:styleId="SubttuloCar">
    <w:name w:val="Subtítulo Car"/>
    <w:basedOn w:val="Fuentedeprrafopredeter"/>
    <w:link w:val="Subttulo"/>
    <w:rsid w:val="002615F9"/>
    <w:rPr>
      <w:rFonts w:ascii="Cambria" w:eastAsia="Times New Roman" w:hAnsi="Cambria" w:cs="Times New Roman"/>
      <w:sz w:val="24"/>
      <w:szCs w:val="24"/>
      <w:lang w:eastAsia="x-none"/>
    </w:rPr>
  </w:style>
  <w:style w:type="paragraph" w:customStyle="1" w:styleId="CharCar1">
    <w:name w:val="Char Car1"/>
    <w:basedOn w:val="Normal"/>
    <w:rsid w:val="002615F9"/>
    <w:pPr>
      <w:autoSpaceDE w:val="0"/>
      <w:autoSpaceDN w:val="0"/>
      <w:spacing w:after="160" w:line="240" w:lineRule="exact"/>
    </w:pPr>
    <w:rPr>
      <w:rFonts w:ascii="Arial" w:eastAsia="Times New Roman" w:hAnsi="Arial" w:cs="Arial"/>
      <w:sz w:val="20"/>
      <w:szCs w:val="20"/>
      <w:lang w:val="en-US"/>
    </w:rPr>
  </w:style>
  <w:style w:type="paragraph" w:styleId="Revisin">
    <w:name w:val="Revision"/>
    <w:hidden/>
    <w:uiPriority w:val="99"/>
    <w:semiHidden/>
    <w:rsid w:val="002615F9"/>
    <w:pPr>
      <w:spacing w:after="0" w:line="240" w:lineRule="auto"/>
    </w:pPr>
    <w:rPr>
      <w:rFonts w:ascii="Arial" w:eastAsia="Times New Roman" w:hAnsi="Arial" w:cs="Times New Roman"/>
      <w:sz w:val="24"/>
      <w:szCs w:val="24"/>
      <w:lang w:eastAsia="es-ES"/>
    </w:rPr>
  </w:style>
  <w:style w:type="character" w:customStyle="1" w:styleId="apple-converted-space">
    <w:name w:val="apple-converted-space"/>
    <w:basedOn w:val="Fuentedeprrafopredeter"/>
    <w:rsid w:val="002615F9"/>
  </w:style>
  <w:style w:type="character" w:styleId="Hipervnculo">
    <w:name w:val="Hyperlink"/>
    <w:uiPriority w:val="99"/>
    <w:unhideWhenUsed/>
    <w:rsid w:val="002615F9"/>
    <w:rPr>
      <w:color w:val="0000FF"/>
      <w:u w:val="single"/>
    </w:rPr>
  </w:style>
  <w:style w:type="paragraph" w:customStyle="1" w:styleId="bullet">
    <w:name w:val="bullet"/>
    <w:basedOn w:val="Normal"/>
    <w:rsid w:val="002615F9"/>
    <w:pPr>
      <w:numPr>
        <w:numId w:val="2"/>
      </w:numPr>
      <w:tabs>
        <w:tab w:val="left" w:pos="7655"/>
      </w:tabs>
      <w:spacing w:before="360" w:after="0" w:line="240" w:lineRule="auto"/>
      <w:ind w:right="758"/>
      <w:jc w:val="both"/>
    </w:pPr>
    <w:rPr>
      <w:rFonts w:ascii="Arial" w:eastAsia="Times New Roman" w:hAnsi="Arial" w:cs="Times New Roman"/>
      <w:b/>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18730095">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30931073">
      <w:bodyDiv w:val="1"/>
      <w:marLeft w:val="0"/>
      <w:marRight w:val="0"/>
      <w:marTop w:val="0"/>
      <w:marBottom w:val="0"/>
      <w:divBdr>
        <w:top w:val="none" w:sz="0" w:space="0" w:color="auto"/>
        <w:left w:val="none" w:sz="0" w:space="0" w:color="auto"/>
        <w:bottom w:val="none" w:sz="0" w:space="0" w:color="auto"/>
        <w:right w:val="none" w:sz="0" w:space="0" w:color="auto"/>
      </w:divBdr>
    </w:div>
    <w:div w:id="733358534">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24862124">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991061283">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8933970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package" Target="embeddings/Microsoft_Excel_Worksheet1.xlsx"/><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package" Target="embeddings/Microsoft_Excel_Worksheet.xlsx"/><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74AF1-5679-428D-8CA7-B4479D338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19827</Words>
  <Characters>109054</Characters>
  <Application>Microsoft Office Word</Application>
  <DocSecurity>0</DocSecurity>
  <Lines>908</Lines>
  <Paragraphs>257</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128624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2</cp:revision>
  <cp:lastPrinted>2023-04-14T18:47:00Z</cp:lastPrinted>
  <dcterms:created xsi:type="dcterms:W3CDTF">2024-04-26T01:27:00Z</dcterms:created>
  <dcterms:modified xsi:type="dcterms:W3CDTF">2024-04-26T01:27:00Z</dcterms:modified>
</cp:coreProperties>
</file>