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A74179">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0E655F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2023, la actividad económica global creció por encima de lo anticipado a inicios de año. Si bien mostró un menor dinamismo respecto a 2022, esto se debió a la acumulación de choques que persistieron desde la pandemia del COVID-19, la invasión de Rusia a Ucrania y su efecto en las presiones inflacionarias, así como la persistencia de condiciones financieras restrictivas a nivel mundial. No obstante, durante 2023 se observó una disminución de la inflación aunada al buen desempeño de la mayoría de las economías, como fue el caso de México, que destacó como una de las economías emergentes con mayor crecimiento anual. De esta manera, hacia el cierre de 2023 se redujo la probabilidad de una recesión a nivel global en 2024, a la par que mejoraron las expectativas sobre una moderación en el crecimiento con menores tasas de interés. No obstante, el ritmo de crecimiento fue heterogéneo entre las principales economías del mundo. </w:t>
      </w:r>
    </w:p>
    <w:p w14:paraId="67106C3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un lado, el Producto Interno Bruto (PIB) de Estados Unidos (EE.UU.) registró un crecimiento anual de 2.5% real apoyado por el consumo privado, principalmente. Ello reflejó el aumento en la creación de empleo, el incremento de los salarios reales y la sólida posición financiera de los hogares. Por el otro, en China, si bien el crecimiento real de la economía fue de 5.2% anual, 0.2 puntos porcentuales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encima de la meta oficial, los problemas en el sector inmobiliario, la baja participación del consumo privado y la debilidad de la demanda externa continuaron pesando sobre la economía; esto a pesar de los apoyos fiscales otorgados por el gobierno chino. Asimismo, en la zona del euro, la pérdida de poder adquisitivo en los hogares y el menor nivel de actividad económica, ambos productos del aumento en los precios de los energéticos y la desaceleración de la inversión, propiciaron un crecimiento marginal en 2023. </w:t>
      </w:r>
    </w:p>
    <w:p w14:paraId="41EDB39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mismo año, las presiones inflacionarias se moderaron y continuaron con una trayectoria descendente, mejor a la esperada. Esta menor presión se explicó por la continua normalización de las cadenas de suministro y la disminución en los precios de las materias primas, en particular los energéticos. La menor demanda en los mercados laborales de las economías avanzadas también contribuyó a reducir las presiones salariales y su traslado a la inflación. Sin embargo, las tasas de inflación en estas economías permanecieron por arriba de los objetivos de los bancos centrales al finalizar el año, si bien las expectativas de mediano plazo se mantuvieron ancladas.</w:t>
      </w:r>
    </w:p>
    <w:p w14:paraId="601BB19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Adicionalmente, durante 2023 se observaron episodios de volatilidad en los precios de los alimentos. En el segundo semestre del año, el fenómeno “El Niño” ocasionó pérdidas de cultivos y afectaciones en la producción de granos básicos, mientras que las políticas restrictivas a las exportaciones en diversos países también contribuyeron a </w:t>
      </w:r>
      <w:proofErr w:type="spellStart"/>
      <w:r w:rsidRPr="00A74179">
        <w:rPr>
          <w:rFonts w:ascii="Arial" w:hAnsi="Arial" w:cs="Arial"/>
          <w:sz w:val="18"/>
          <w:szCs w:val="18"/>
        </w:rPr>
        <w:t>a</w:t>
      </w:r>
      <w:proofErr w:type="spellEnd"/>
      <w:r w:rsidRPr="00A74179">
        <w:rPr>
          <w:rFonts w:ascii="Arial" w:hAnsi="Arial" w:cs="Arial"/>
          <w:sz w:val="18"/>
          <w:szCs w:val="18"/>
        </w:rPr>
        <w:t xml:space="preserve"> reducción de la oferta de productos agrícolas. Por su parte, los precios de los energéticos, particularmente del petróleo y sus derivados, se vieron presionados al alza por los nuevos recortes en la producción de petróleo por parte de la OPEP+ y los recientes conflictos en Medio Oriente. No obstante, estas presiones fueron compensadas por la mayor producción de crudo en EE.UU. y la expectativa de una desaceleración económica, especialmente en China, segundo consumidor a nivel global.</w:t>
      </w:r>
    </w:p>
    <w:p w14:paraId="0CA0B2D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En este contexto, los principales bancos centrales de las economías avanzadas continuaron elevando sus tasas de referencia hacia una postura monetaria más restrictiva, con el fin de reducir la persistencia de la inflación e incidir sobre las expectativas de mediano plazo. Tal es el caso de la Reserva Federal (FED), que en 2023 incrementó su tasa de referencia a niveles no vistos en los últimos 15 años, alcanzando un rango de 5.25-5.50%; mientras que el Banco Central Europeo (BCE) situó su tasa de depósitos en 4.0%, nivel no observado desde su creación en 1999. Hacia finales de 2023, ante la clara disminución de las presiones inflacionarias, la FED anunció que su tasa de política monetaria permanecería sin cambios el 26 de septiembre, al igual que el BCE, a partir del 17 de octubre. Finalmente, el 12 de diciembre, el presidente de la FED, Jerome Powell, reconoció estar cerca de la tasa terminal, reforzando el mensaje en los mercados del fin del ciclo de endurecimiento monetario. Por su parte, diversos bancos centrales en economías emergentes como Brasil, Chile y Perú, países que comenzaron su periodo restrictivo antes que las economías avanzadas, empezaron a relajar sus tasas de política monetaria desde la segunda mitad de 2023. </w:t>
      </w:r>
    </w:p>
    <w:p w14:paraId="668376F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lo anterior, las condiciones financieras mostraron un comportamiento restrictivo en gran parte de 2023, y se observaron episodios de volatilidad frente a la incertidumbre sobre los resultados económicos. Por ejemplo, las tasas de interés a 10 de años de los bonos del Tesoro alcanzaron niveles cercanos al 5.0% en octubre de 2023, nivel no visto desde 2007, comportamiento atribuido a la expectativa de que la FED podría mantener elevada su tasa de referencia por más tiempo. Sin embargo, la trayectoria descendente de la inflación, el mejor desempeño de los mercados laborales y la solidez económica en EE.UU., redujeron la volatilidad en los mercados de renta fija y crearon un panorama más favorable para disminuir las tasas en 2024. </w:t>
      </w:r>
    </w:p>
    <w:p w14:paraId="0797B29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este contexto, en 2023, la economía mexicana prolongó su racha de crecimiento por tercer año consecutivo, a la par de que se continuaron generando empleos con mayores salarios. Al interior, destacó el desempeño positivo de la inversión, principalmente la inversión privada, la cual alcanzó niveles y tasas de crecimiento históricas. Asimismo, el consumo privado se vio favorecido por los incrementos en la masa salarial, la mayor confianza del consumidor y la apreciación del peso respecto al dólar estadounidense. Mientras que, en el sector externo, destacaron los aumentos de los ingresos por turismo, el crecimiento de las exportaciones manufactureras y los niveles récord de Inversión Extranjera Directa (IED).</w:t>
      </w:r>
    </w:p>
    <w:p w14:paraId="1204280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sistema financiero mexicano experimentó en 2023 episodios de volatilidad y aversión al riesgo debido, principalmente, a la incertidumbre sobre la tasa terminal de la FED. Sin embargo, la perspectiva fue más favorable hacia el cierre del año a medida que se reforzó la expectativa del fin del ciclo de alza de tasas en EE.UU. Como resultado, el tipo de cambio finalizó el año en 17.0 pesos por dólar estadounidense, lo que implicó una apreciación de 14.9% respecto al año previo. En el mismo periodo, el rendimiento de los bonos del Gobierno Federal en moneda nacional a 10 años se ubicó en 8.9%, una disminución de 8 puntos base (pb) con respecto a 2022, mientras que la percepción de riesgo país, medido por las Permutas de Incumplimiento Crediticio (CDS) a 5 años, disminuyó en 42 pb, situándose en 88.5 pb al cierre de año. </w:t>
      </w:r>
    </w:p>
    <w:p w14:paraId="620DB27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crédito vigente al sector privado no financiero por parte de la banca comercial registró un crecimiento real acumulado de 5.8% a noviembre de 2023; mientras que, al interior, el crédito vigente a las empresas reportó un crecimiento acumulado de 2.7% real en el mismo periodo. Por su parte, en noviembre, el Índice de Capitalización (ICAP) de la banca comercial se mantuvo por encima de los estándares internacionales de Basilea III (10.5%) en 19.3%, lo que da muestra de la estabilidad del sistema bancario del país. Finalmente, a lo largo del año, el Índice de Morosidad (IMOR) se ubicó en promedio en 2.1%, con lo cual se mantuvo muy por debajo del promedio observado en periodos de estrés previos como 2008-2009.</w:t>
      </w:r>
    </w:p>
    <w:p w14:paraId="0E8D384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gestión de las finanzas públicas se llevó a cabo en un entorno donde prevalecieron condiciones financieras restrictivas tanto a nivel nacional como internacional, las cuales tuvieron un impacto directo en el costo financiero de la deuda. Además, la influencia de choques externos como los menores precios del petróleo y la apreciación del tipo de cambio respecto a lo programado resultaron en menores ingresos petroleros con respecto a lo previsto. No obstante, lo anterior fue compensado por la reconocida solidez de la recaudación tributaria y por un ejercicio ordenado del gasto público, el cual se efectuó bajo criterios de eficiencia y transparencia, sin descuidar el bienestar de la población. </w:t>
      </w:r>
    </w:p>
    <w:p w14:paraId="534116A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Como resultado del sólido desempeño de la actividad económica, así como de los efectos de las medidas implementadas para combatir el fraude fiscal y fomentar un mayor cumplimiento por parte de los contribuyentes, la recaudación tributaria permaneció robusta y mostró un crecimiento de 12.4% real al cierre de 2023, el más alto </w:t>
      </w:r>
      <w:r w:rsidRPr="00A74179">
        <w:rPr>
          <w:rFonts w:ascii="Arial" w:hAnsi="Arial" w:cs="Arial"/>
          <w:sz w:val="18"/>
          <w:szCs w:val="18"/>
        </w:rPr>
        <w:lastRenderedPageBreak/>
        <w:t xml:space="preserve">desde 2015. Además, los ingresos tributarios alcanzaron el 14.2% del PIB, lo que representó un máximo histórico y la materialización de ganancias permanentes en la recaudación de al menos 1.6 </w:t>
      </w:r>
      <w:proofErr w:type="spellStart"/>
      <w:r w:rsidRPr="00A74179">
        <w:rPr>
          <w:rFonts w:ascii="Arial" w:hAnsi="Arial" w:cs="Arial"/>
          <w:sz w:val="18"/>
          <w:szCs w:val="18"/>
        </w:rPr>
        <w:t>pp</w:t>
      </w:r>
      <w:proofErr w:type="spellEnd"/>
      <w:r w:rsidRPr="00A74179">
        <w:rPr>
          <w:rFonts w:ascii="Arial" w:hAnsi="Arial" w:cs="Arial"/>
          <w:sz w:val="18"/>
          <w:szCs w:val="18"/>
        </w:rPr>
        <w:t xml:space="preserve"> del PIB respecto a 2018. </w:t>
      </w:r>
    </w:p>
    <w:p w14:paraId="07623D0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particular, la recaudación del Impuesto Sobre la Renta (ISR) creció 4.6% respecto al nivel observado en 2022, en términos reales, impulsada por el crecimiento de los salarios, los altos niveles de empleo y las mayores ganancias de las empresas. Cabe destacar que el monto observado alcanzó un máximo histórico de 7.9% del PIB. </w:t>
      </w:r>
    </w:p>
    <w:p w14:paraId="5EB1E0F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otra parte, en 2023 se registró un alza de 6.0% real en la recaudación del Impuesto al Valor Agregado (IVA), la cual superó el promedio de 2013 a 2022 y reflejó el buen desempeño del consumo privado a nivel nacional. Como porcentaje del PIB, el IVA alcanzó un nivel equivalente al 4.3%, el más alto desde que se tiene registro. </w:t>
      </w:r>
    </w:p>
    <w:p w14:paraId="29A4BA7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crecimiento total de los ingresos tributarios también se explicó por el efecto de la mayor recaudación del Impuesto Especial sobre Producción y Servicios (IEPS), en el contexto de una menor base de comparación debido a la aplicación de estímulos al precio de los combustibles en 2022. En este sentido, la recaudación total del IEPS fue 3.6 veces superior a la observada en 2022, en términos reales, apoyada por un incremento de 3.6% anual del componente distinto de combustibles, crecimiento más alto desde 2017. </w:t>
      </w:r>
    </w:p>
    <w:p w14:paraId="6B5A8D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Cabe destacar que, al excluir el IEPS de combustibles, la recaudación tributaria aumentó 4.5% real respecto a 2022, alcanzando un nivel sin precedentes equivalente al 13.5% de PIB. En el caso de los ingresos petroleros, en 2023 se observó una caída real anual de 31.0%, relacionada con la disminución del precio de la mezcla mexicana de petróleo para exportación (MME) respecto a los niveles alcanzados en 2022 y la apreciación del tipo de cambio, dos factores que fueron parcialmente compensados por una mayor plataforma de producción. De la totalidad de los ingresos petroleros, Petróleos Mexicanos (Pemex) recibió el 68.3% del total, cifra muy por encima de lo observado en administraciones anteriores, como resultado de las medidas emprendidas para reducir la carga fiscal de la empresa.</w:t>
      </w:r>
    </w:p>
    <w:p w14:paraId="501B6BB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su parte, el ejercicio del gasto público se mantuvo en línea con los criterios definidos en el Presupuesto de Egresos de la Federación (PEF) 2023 y con el cumplimiento de las metas fiscales; ello sin descuidar la asignación de recursos necesarios para el combate a la pobreza y la desigualdad, así como para la ampliación de la capacidad productiva y el resarcimiento de las brechas de infraestructura en la región sureste del país, principalmente. </w:t>
      </w:r>
    </w:p>
    <w:p w14:paraId="4E1F807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Al cierre de 2023, se registró un aumento del gasto en protección social de 8.6% real, y como porcentaje del PIB alcanzó un nivel sin precedentes de 5.4%. Este desempeño obedeció a un aumento del gasto en programas sociales, tales como pensiones y otros apoyos, mismos que han permitido reducir la pobreza y mejorar la calidad de vida de sectores de la población históricamente desfavorecidos. </w:t>
      </w:r>
    </w:p>
    <w:p w14:paraId="1238612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la par, el gasto en educación aumentó 5.1% respecto a su nivel de 2022, en términos reales, incremento que se compara favorablemente con la caída promedio de 0.3% registrada entre 2013 y 2022. Por su parte, la inversión física ascendió a 2.8% del PIB, lo que representó un crecimiento acumulado de 11.3% en términos reales respecto al nivel observado en 2018. </w:t>
      </w:r>
    </w:p>
    <w:p w14:paraId="6175A0E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ejercicio de estos recursos permitió avanzar en la construcción de múltiples proyectos de infraestructura capaces de generar empleo de calidad e impulsar el crecimiento económico potencial. Por otro lado, con respecto al gasto de operación, se observó una reducción de 2.1% real, resultado de las medidas de austeridad para hacer un uso más eficiente de los recursos disponibles. </w:t>
      </w:r>
    </w:p>
    <w:p w14:paraId="2B7CB44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Entre los principales desafíos para la política fiscal, durante 2023 destacó la persistencia de las altas tasas de interés, con un impacto directo en el costo financiero, el cual registró un incremento de 21.5% real respecto a 2022. No obstante, la activa estrategia de manejo financiero y gestión de pasivos del Gobierno Federal permitió que el costo financiero de la deuda se ubicara 3.2% por debajo de lo programado.</w:t>
      </w:r>
    </w:p>
    <w:p w14:paraId="09273FB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2023, la política de financiamiento tuvo como prioridad garantizar la estabilidad de la trayectoria de la deuda como proporción del PIB, financiándose principalmente en el mercado interno con instrumentos a largo plazo y a tasa fija, lo que permitió cubrir las necesidades de financiamiento del Sector Público al menor costo y riesgo posible.</w:t>
      </w:r>
    </w:p>
    <w:p w14:paraId="47F1330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último trimestre de 2023, el ritmo de crecimiento de la economía global se moderó con respecto al trimestre previo, derivado del menor dinamismo en Europa y China, así como del aumento de los conflictos bélicos en Medio Oriente, los cuales provocaron disrupciones al comercio internacional. Lo anterior generó volatilidad en los </w:t>
      </w:r>
      <w:r w:rsidRPr="00A74179">
        <w:rPr>
          <w:rFonts w:ascii="Arial" w:hAnsi="Arial" w:cs="Arial"/>
          <w:sz w:val="18"/>
          <w:szCs w:val="18"/>
        </w:rPr>
        <w:lastRenderedPageBreak/>
        <w:t xml:space="preserve">mercados en un entorno en que las condiciones financieras mantuvieron su carácter restrictivo debido a las posturas de política monetaria de los principales bancos centrales del mundo. No obstante, los choques de oferta a nivel global continuaron cediendo junto con las presiones inflacionarias ante la normalización en las cadenas de suministro y los menores precios de materias primas. </w:t>
      </w:r>
    </w:p>
    <w:p w14:paraId="0A769C8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inflación en las economías avanzadas mantuvo una trayectoria descendente, aunque más gradual, mostrando persistencia en los precios de servicios asociado a los desfases del mercado laboral y las presiones en los servicios de alojamiento. En el caso de EE.UU., el ritmo de la actividad económica disminuyó con respecto al trimestre previo, aunque en menor magnitud a lo esperado por el consenso al inicio del periodo. El consumo privado presentó la mayor contribución al PIB derivado de la creación de empleo, las menores tasas de inflación y la sólida posición financiera de los hogares. Por sectores, las manufacturas continuaron mostrando un menor dinamismo, mientras que los servicios se desaceleraron. </w:t>
      </w:r>
    </w:p>
    <w:p w14:paraId="01E65DF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China, la economía moderó su crecimiento durante el cuarto trimestre con respecto al previo debido a la menor actividad en el sector inmobiliario y la menor demanda externa. A su vez, en la zona euro, la pérdida de dinamismo en la producción industrial y el menor volumen de exportaciones siguieron pesando sobre la evolución de la actividad económica hacia el cierre de año. Por su parte, se observaron episodios de volatilidad en los mercados de materias primas durante el cuarto trimestre de 2023. Si bien los precios de los energéticos, alimentos e insumos industriales cayeron con respecto al trimestre previo, su comportamiento registró presiones al alza asociadas a los conflictos geopolíticos en Medio Oriente, las tensiones en el Mar Rojo, los fenómenos climatológicos y los nuevos recortes en la producción de petróleo por parte de la OPEP+. </w:t>
      </w:r>
    </w:p>
    <w:p w14:paraId="4E07A34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Así, en un contexto de menores presiones inflacionarias y una tasa de desempleo estable, la FED decidió mantener sin cambios su tasa de política monetaria durante el cuarto trimestre y reconoció estar cerca de la tasa terminal. Con esto se redujo la probabilidad que los mercados financieros asignaban a una posible recesión de la economía de EE.UU. en los meses siguientes, y aumentó la perspectiva de una moderación de la actividad económica generando condiciones financieras más favorables durante el resto del año y una mayor expectativa de recortes en la tasa de interés para 2024.</w:t>
      </w:r>
    </w:p>
    <w:p w14:paraId="59622A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De acuerdo con la estimación preliminar, el PIB real de EE.UU. registró un crecimiento de 0.8% trimestral en el cuarto trimestre de 2023, con cifras ajustadas por estacionalidad, desacelerándose respecto al crecimiento trimestral de 1.2% observado en el periodo previo. No obstante, esta tasa superó el incremento trimestral de 0.2% esperado por el mercado a inicios del periodo. De esta manera, la actividad económica en EE.UU. registró un crecimiento anual de 2.5% en 2023, por encima del consenso de analistas que, al inicio del mismo año, anticipaba un aumento del PIB de 0.5% anual. El principal impulso a la economía estadounidense en el cuarto trimestre provino del consumo privado. Su contribución al PIB se mantuvo prácticamente sin cambios, en 0.5 </w:t>
      </w:r>
      <w:proofErr w:type="spellStart"/>
      <w:r w:rsidRPr="00A74179">
        <w:rPr>
          <w:rFonts w:ascii="Arial" w:hAnsi="Arial" w:cs="Arial"/>
          <w:sz w:val="18"/>
          <w:szCs w:val="18"/>
        </w:rPr>
        <w:t>pp</w:t>
      </w:r>
      <w:proofErr w:type="spellEnd"/>
      <w:r w:rsidRPr="00A74179">
        <w:rPr>
          <w:rFonts w:ascii="Arial" w:hAnsi="Arial" w:cs="Arial"/>
          <w:sz w:val="18"/>
          <w:szCs w:val="18"/>
        </w:rPr>
        <w:t xml:space="preserve">, con respecto al tercer trimestre. La contribución de la inversión fija bruta permaneció en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el mismo periodo, apoyada por la inversión no residencial, ya que la residencial continuó limitada por las altas tasas hipotecarias. Por su parte, el gasto público contribuyó al crecimiento con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principalmente por la influencia de los gobiernos subnacionales. Los componentes más volátiles, como los inventarios, tuvieron una contribución nula al crecimiento del PIB del cuarto trimestre, mientras que las exportaciones netas contribuyeron con 0.1 </w:t>
      </w:r>
      <w:proofErr w:type="spellStart"/>
      <w:r w:rsidRPr="00A74179">
        <w:rPr>
          <w:rFonts w:ascii="Arial" w:hAnsi="Arial" w:cs="Arial"/>
          <w:sz w:val="18"/>
          <w:szCs w:val="18"/>
        </w:rPr>
        <w:t>pp</w:t>
      </w:r>
      <w:proofErr w:type="spellEnd"/>
      <w:r w:rsidRPr="00A74179">
        <w:rPr>
          <w:rFonts w:ascii="Arial" w:hAnsi="Arial" w:cs="Arial"/>
          <w:sz w:val="18"/>
          <w:szCs w:val="18"/>
        </w:rPr>
        <w:t>, debido al aumento en las exportaciones de servicios.</w:t>
      </w:r>
    </w:p>
    <w:p w14:paraId="25F6610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cuarto trimestre de 2023, el consumo privado en EE.UU. se desaceleró a una tasa real de 0.7 desde el 0.8% previo, en su variación trimestral. Este comportamiento provino principalmente de un menor ritmo de crecimiento en el rubro de bienes, destacando el consumo de bienes recreativos, que aumentó a un ritmo de 2.6% desde 4.0% en el tercer trimestre, mientras que el rubro de vehículos y autopartes se contrajo 0.3%, al igual que el periodo previo, producto de los altos precios y las condiciones de crédito restrictivas. Por su parte, el gasto en servicios se desaceleró en el rubro de vivienda y cayó en los financieros.</w:t>
      </w:r>
    </w:p>
    <w:p w14:paraId="28EA147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producción industrial en el cuarto trimestre se contrajo 0.8% a tasa trimestral, en comparación con el crecimiento de 0.5% observado en el trimestre previo. Esta caída provino de los tres principales rubros industriales: servicios públicos (- 2.1%), minería (- 0.9%) y manufacturas (- 0.6%), este último con una participación del 75% en el total. La evolución de la producción manufacturera en EE.UU. tuvo un comportamiento volátil durante el periodo afectado por condiciones financieras restrictivas y por disrupciones en sectores específicos como el automotriz. Tal fue el caso de la huelga ocurrida entre el 15 de septiembre y el 30 de octubre por parte del sindicato de trabajadores de la industria automotriz (UAW, por sus siglas en inglés) que provocó una caída en la producción mensual de </w:t>
      </w:r>
      <w:r w:rsidRPr="00A74179">
        <w:rPr>
          <w:rFonts w:ascii="Arial" w:hAnsi="Arial" w:cs="Arial"/>
          <w:sz w:val="18"/>
          <w:szCs w:val="18"/>
        </w:rPr>
        <w:lastRenderedPageBreak/>
        <w:t>vehículos y autopartes de 9.9% en octubre, seguido de un incremento de 7.4 y 1.6% en noviembre y diciembre, respectivamente, mismo que no fue suficiente para recuperar su nivel de producción de septiembre.</w:t>
      </w:r>
    </w:p>
    <w:p w14:paraId="5545C3B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Las presiones inflacionarias en EE.UU. continuaron descendiendo debido a la normalización de las cadenas de suministro y los menores precios de energéticos a nivel global. En específico, el ritmo de variación anual del Índice de Precios al Consumo se desaceleró de 3.7 a 3.4% entre los cierres del tercer y cuarto trimestre. El componente de energéticos restó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diciembre, mientras que el componente de alimentos redujo su incidencia en la inflación anual de 0.5 a 0.4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el mismo periodo, derivado de menores precios en el rubro de alimentos en el hogar como cereales, pan, lácteos, frutas y verduras. Asimismo, la inflación subyacente redujo su ritmo de crecimiento anual de 4.1 a 3.9% entre los cierres del tercer y cuarto trimestre. La incidencia de los servicios continuó en niveles altos con una disminución mínima en su contribución a la inflación general de 3.2 a 3.1 </w:t>
      </w:r>
      <w:proofErr w:type="spellStart"/>
      <w:r w:rsidRPr="00A74179">
        <w:rPr>
          <w:rFonts w:ascii="Arial" w:hAnsi="Arial" w:cs="Arial"/>
          <w:sz w:val="18"/>
          <w:szCs w:val="18"/>
        </w:rPr>
        <w:t>pp</w:t>
      </w:r>
      <w:proofErr w:type="spellEnd"/>
      <w:r w:rsidRPr="00A74179">
        <w:rPr>
          <w:rFonts w:ascii="Arial" w:hAnsi="Arial" w:cs="Arial"/>
          <w:sz w:val="18"/>
          <w:szCs w:val="18"/>
        </w:rPr>
        <w:t xml:space="preserve"> durante el periodo. Al interior, destacó la contribución del subcomponente de alojamiento, que aportó 2.1 </w:t>
      </w:r>
      <w:proofErr w:type="spellStart"/>
      <w:r w:rsidRPr="00A74179">
        <w:rPr>
          <w:rFonts w:ascii="Arial" w:hAnsi="Arial" w:cs="Arial"/>
          <w:sz w:val="18"/>
          <w:szCs w:val="18"/>
        </w:rPr>
        <w:t>pp</w:t>
      </w:r>
      <w:proofErr w:type="spellEnd"/>
      <w:r w:rsidRPr="00A74179">
        <w:rPr>
          <w:rFonts w:ascii="Arial" w:hAnsi="Arial" w:cs="Arial"/>
          <w:sz w:val="18"/>
          <w:szCs w:val="18"/>
        </w:rPr>
        <w:t xml:space="preserve"> a la inflación anual de diciembre. </w:t>
      </w:r>
    </w:p>
    <w:p w14:paraId="0DB50DF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otra parte, el rubro de bienes mantuvo una contribución a la inflación general anual cercana a cero durante todo el cuarto trimestre, como resultado de la normalización en las cadenas globales de valor a nivel mundial. Asimismo, la variación anual del deflactor implícito del gasto en consumo personal (PCE) se desaceleró de 3.4 a 2.6% entre septiembre y diciembre, mientras que el PCE subyacente redujo su ritmo de crecimiento anual de 3.6 a 2.9% en el mismo periodo, principalmente por el componente de servicios. Por su parte, de acuerdo con la Reserva Federal de Nueva York, la mediana de expectativas de inflación anual a doce meses se redujo de 3.7 a 3.0% durante el mismo periodo. Asimismo, las expectativas de mediano plazo, de tres años, se redujeron de 3.0 a 2.6%, mientras que la de cinco años pasaron de 2.8 a 2.5%, aunque todas aún por encima de un nivel consistente con el 2.0% objetivo de la FED.</w:t>
      </w:r>
    </w:p>
    <w:p w14:paraId="10619FD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del año, la actividad económica en la zona euro continuó mostrando un débil desempeño con respecto al trimestre previo. Persistió la pérdida de dinamismo en la demanda interna y el menor volumen de exportaciones con sus principales socios comerciales, en un entorno de desaceleración de la demanda externa. Además, influyó la postura monetaria restrictiva del BCE y su efecto negativo en la producción industrial de la región, en especial en Alemania. Así, en diciembre, los índices de gerentes de compras (PMI, por sus siglas en inglés) apuntaron a una continua desaceleración de la actividad económica, en particular en el sector de manufacturas, mientras que el de servicios mostró mayor resiliencia por la disminución de las presiones inflacionarias y el incremento de los salarios reales que favorece el poder adquisitivo de los hogares. </w:t>
      </w:r>
    </w:p>
    <w:p w14:paraId="6185DF4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Sin embargo, al cerrar el año, ambos indicadores oportunos se ubicaron en terreno de contracción en 44.4 y 48.8 puntos, respectivamente. Lo anterior se reflejó en la confianza empresarial de la industria manufacturera que se contrajo aún más con respecto a septiembre, mientras que la relacionada con los servicios registró cierto optimismo en diciembre (8.4 puntos), siendo éste el más alto desde abril 2023. Asimismo, se observó un repunte de las ventas al menudeo, las cuales reportaron un crecimiento real de 0.2% durante octubre-noviembre, por encima de la contracción de 0.8% registrada en el bimestre previo. Mientras que, si bien el índice de confianza del consumidor continuó sin recuperar su tendencia previa a la pandemia, éste registró en diciembre su mejor nivel en el año, con una mejora de 2.7 puntos respecto a septiembre. </w:t>
      </w:r>
    </w:p>
    <w:p w14:paraId="4CB4E9C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las presiones inflacionarias mantuvieron su tendencia decreciente, aunque aún por encima del objetivo del 2.0% del BCE. La inflación general anual se redujo de 4.3 a 2.9% entre los cierres del tercer y el cuarto trimestre, principalmente debido a la caída en los precios de los energéticos y la desaceleración del componente de los alimentos. Asimismo, la inflación subyacente mostró una reducción de 4.5 a 3.4% en su tasa anual, en el mismo periodo, por una disminución en los precios de bienes y de servicios, aunque estos últimos continuaron elevados debido a una mayor demanda en sectores restauranteros, hoteleros y recreativos.</w:t>
      </w:r>
    </w:p>
    <w:p w14:paraId="7F9DA51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del año, el ritmo de la actividad económica en China se desaceleró a una tasa trimestral real de 1.0%, desde el 1.5% del trimestre previo, en línea con lo esperado por el consenso de analistas de Bloomberg al cierre del año. Este menor dinamismo se atribuyó principalmente a los menores niveles de inversión en el sector inmobiliario y los problemas de acceso al financiamiento que este sector enfrenta. </w:t>
      </w:r>
    </w:p>
    <w:p w14:paraId="7023785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construcción de edificios e inmuebles permaneció en contracción durante 2023, mientras que el índice adelantado de los precios de la vivienda continuó disminuyendo con respecto al periodo previo. Así, la tasa de crecimiento anual del PIB real de China fue de 5.2% en 2023, 0.2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encima de la estimación oficial del gobierno. Por su parte, la debilidad de la demanda externa y las tensiones geopolíticas entre EE.UU. y China se </w:t>
      </w:r>
      <w:r w:rsidRPr="00A74179">
        <w:rPr>
          <w:rFonts w:ascii="Arial" w:hAnsi="Arial" w:cs="Arial"/>
          <w:sz w:val="18"/>
          <w:szCs w:val="18"/>
        </w:rPr>
        <w:lastRenderedPageBreak/>
        <w:t xml:space="preserve">reflejaron en una contracción en el volumen de exportaciones de 2.3% en el bimestre octubre-noviembre con respecto al bimestre previo, con base en las últimas cifras disponibles a octubre, aunque en el acumulado del año registró un incremento de 13.5%. </w:t>
      </w:r>
    </w:p>
    <w:p w14:paraId="174B12A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el crecimiento de la producción industrial se aceleró a 1.7% a tasa trimestral, ligeramente por arriba del 1.4% del periodo previo. Mientras tanto, las ventas al menudeo apuntaron a un nivel de consumo más moderado de bienes con respecto a servicios durante el cuarto trimestre. En este contexto, por tercer mes consecutivo en el trimestre se registró una deflación, de 0.3% en diciembre, derivado de la ralentización de su actividad económica. Por lo anterior, el gobierno chino implementó nuevas medidas de apoyo durante el cuarto trimestre de 2023. Entre ellas, se llevó a cabo una emisión de deuda soberana por 137 mil millones de dólares para incrementar el gasto gubernamental en infraestructura, una inyección de 200 mil millones de dólares de liquidez al sistema financiero por parte del Banco Popular de China, a través de su línea de crédito de mediano plazo, mientras que las tasas de referencia permanecieron en mínimos históricos para impulsar su economía.</w:t>
      </w:r>
    </w:p>
    <w:p w14:paraId="20CFA0C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2023, los precios de las materias primas cayeron con respecto a los niveles del año previo, históricamente altos, ante los efectos de las políticas monetarias restrictivas y la desaceleración del crecimiento económico global. En particular, al cierre del cuarto trimestre de 2023, el índice de precios de materias primas de Bloomberg (BCOM) presentó una disminución de 5.9% en comparación con el cierre del periodo previo, impulsada principalmente por la caída en los precios de los energéticos. No obstante, su comportamiento también registró presiones al alza asociadas a los conflictos geopolíticos, las restricciones comerciales y el fenómeno climatológico de “El Niño”.</w:t>
      </w:r>
    </w:p>
    <w:p w14:paraId="18FCF09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 2023, las principales economías avanzadas mantuvieron sin cambios sus tasas de referencia, lo que fortaleció la expectativa del fin en el ciclo de alza de tasas a nivel global. En EE.UU., los avances en la reducción en la inflación general, así como en la subyacente, llevó a la FED a mantener sin cambios su tasa de referencia con un rango de 5.25-5.50% durante sus dos reuniones del 1 de noviembre y el 13 de diciembre. Adicionalmente, continuó la reducción de su hoja de balance, situándose en 7.7 billones de dólares al 31 de diciembre, una disminución de 0.3 billones de dólares respecto al cierre del trimestre previo y de 0.8 billones con respecto al inicio del año. </w:t>
      </w:r>
    </w:p>
    <w:p w14:paraId="30E4EDA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la última conferencia de prensa de diciembre, el presidente de la FED, Jerome Powell, reconoció que la tasa de inflación se encuentra en una clara trayectoria descendente y consideró que probablemente se encuentran en o cerca de la tasa máxima del ciclo monetario. Lo anterior se reflejó en sus más recientes proyecciones de diciembre, donde la mayoría de los miembros del Comité de Mercado Abierto estimó una reducción de 75 pb para sus proyecciones de tasa de referencia en 2024, situando la mediana de la tasa de referencia en 4.6%. </w:t>
      </w:r>
    </w:p>
    <w:p w14:paraId="26E984E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No obstante, hacia el cierre del cuarto trimestre de 2023, el mercado de futuros implicó una reducción de tasa más acelerada en 150 pb durante 2024, esperando el primer recorte en la segunda reunión del año en marzo. Por su parte, el BCE decidió mantener las tasas de interés oficiales sin cambio durante el cuarto trimestre de 2023, debido a la desaceleración de las presiones inflacionarias. Por ello, la tasa de depósitos se ubicó en 4.0%, la de refinanciamiento en 4.50% y la de crédito marginal en 4.75% al cierre del trimestre. </w:t>
      </w:r>
    </w:p>
    <w:p w14:paraId="205085C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este contexto, la presidenta del BCE, Christine Lagarde, mencionó en su última conferencia de prensa de diciembre que el banco central realizó las acciones suficientes para que la inflación alcance de manera oportuna su nivel deseado. Esto llevó al mercado a asumir una reducción en la tasa de interés de referencia de 150 pb para el 2024, siendo la reunión de abril donde se esperaría el primer recorte. </w:t>
      </w:r>
    </w:p>
    <w:p w14:paraId="069942C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Asimismo, continuó la reducción en la hoja de balance del BCE y se anunciaron nuevos cambios en el programa de compras de emergencia frente a la pandemia (PEPP, por sus siglas en inglés). Se prevé reinvertir el principal de los valores adquiridos que vayan venciendo durante el primer trimestre de 2024 y comenzar a reducir, a partir del segundo trimestre, la cartera del PEPP en 7.5 miles de millones de euros mensuales en promedio, con el fin de terminar las reinversiones a finales de 2024. </w:t>
      </w:r>
    </w:p>
    <w:p w14:paraId="0290D74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caso de las economías emergentes, varios bancos centrales continuaron relajando su ciclo monetario mientras otros mantuvieron sus tasas de política durante el cuarto trimestre de 2023. Esto como resultado de la implementación anticipada de una política monetaria restrictiva con respecto a las economías avanzadas, aunado a la tendencia decreciente de las presiones inflacionarias, el anclaje de las expectativas de inflación y en algunos casos para estimular su actividad económica. En específico, Chile, Brasil, Perú, Uruguay, Colombia y Polonia redujeron sus tasas de referencia en sus últimas reuniones, con disminuciones acumuladas de 125, 100, 75, 75, </w:t>
      </w:r>
      <w:r w:rsidRPr="00A74179">
        <w:rPr>
          <w:rFonts w:ascii="Arial" w:hAnsi="Arial" w:cs="Arial"/>
          <w:sz w:val="18"/>
          <w:szCs w:val="18"/>
        </w:rPr>
        <w:lastRenderedPageBreak/>
        <w:t>25 y 25 pb, respectivamente, durante el cuarto trimestre, mientras que México mantuvo sin cambios su tasa de referencia en el mismo periodo.</w:t>
      </w:r>
    </w:p>
    <w:p w14:paraId="4D08157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principios del cuarto trimestre de 2023, durante octubre, se observaron episodios de volatilidad y de aversión al riesgo asociados a la expectativa de una postura monetaria con tasas más altas por un periodo prolongado, las tensiones geopolíticas en Medio Oriente y la solidez de algunos indicadores económicos en EE.UU. y China. Como resultado, el índice de volatilidad implícita (VIX) en EE.UU. se ubicó el 20 de octubre de 2023 en 21 puntos, nivel no observado desde marzo del mismo año. Mientras que, el 19 de octubre, los rendimientos de los Bonos del Tesoro en EE. UU. De 2, 5 y 10 años alcanzaron niveles máximos no vistos desde 2007, ubicándose en 5.2, 4.9 y 5.0% respectivamente. </w:t>
      </w:r>
    </w:p>
    <w:p w14:paraId="4FCF5D6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su parte, el índice S&amp;P 500 registró su peor desempeño para el mes de octubre desde 2018 y el dólar, medido por el DXY, alcanzó su nivel más alto del año en este mes con una apreciación de 7.2% con respecto a su nivel más bajo en julio del mismo año. Sin embargo, durante noviembre y diciembre de 2023, la volatilidad y los incrementos significativos en las tasas de mercado, se fueron disipando al aumentar el optimismo de que la FED comenzaría a revertir su ciclo monetario restrictivo en 2024, luego de darse a conocer que la inflación continuó con una trayectoria descendente, los mercados laborales de economías avanzadas mostraban un menor apretamiento, así como una disminución de los temores de un mayor conflicto en Medio Oriente. </w:t>
      </w:r>
    </w:p>
    <w:p w14:paraId="708C16F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Como resultado, el índice VIX cerró el año en 5.1 puntos, por debajo del nivel observado al cierre del tercer trimestre, mientras que las tasas de interés en EE.UU. mostraron reducciones a lo largo de toda la curva de rendimientos, en particular, la tasa a 10 años que se ubicó en 3.9%, reflejando una disminución de 69 pb en relación con el cierre del trimestre previo. Asimismo, el S&amp;P 500 aumentó 11%, en el mismo periodo, alcanzando un máximo del año el 28 de diciembre y el dólar, medido por el DXY, se depreció 4.6%, mientras que se observó una apreciación del euro de 4.4% con respecto al cierre del trimestre previo. </w:t>
      </w:r>
    </w:p>
    <w:p w14:paraId="760700D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los mercados accionarios de economías emergentes reportaron un aumento de 7.4% en el mismo periodo, de acuerdo con el índice bursátil MSCI, en un entorno de mayor apetito por riesgo. Adicionalmente, el riesgo país de economías emergentes, medido por el EMBI+ disminuyó 48 pb durante el periodo referido, mientras que el flujo hacia estas economías presentó una entrada de capitales de 4.6%, particularmente en instrumentos de deuda. Finalmente, se observó una apreciación de 4.3% en el índice MSCI de monedas emergentes con respecto al cierre del trimestre previo, igualmente apoyado por menor precepción de riesgo.</w:t>
      </w:r>
    </w:p>
    <w:p w14:paraId="697629A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cuarto trimestre de 2023, la economía mexicana continuó creciendo y mostró fortaleza a pesar de diversos desafíos provenientes del sector externo. El impulso de la demanda interna continuó en niveles elevados, aunque el ritmo de crecimiento se moderó respecto al trimestre anterior. No obstante, el crecimiento de la inversión pública y privada aumentó y permitió alcanzar niveles históricamente altos. En su interior, destacó la inversión privada, la cual fue impulsada por los rubros de maquinaria y construcción, y que creció a una tasa anual superior al 20%. </w:t>
      </w:r>
    </w:p>
    <w:p w14:paraId="43C7384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desempeño del sector externo evidenció los retos coyunturales en EE.UU., entre las que se encontraron el cierre de cruces fronterizos y la inspección de camiones en el límite con México que afectó el comercio de mercancías entre ambos países. A lo anterior se sumó la huelga automotriz entre el sindicato de trabajadores de plantas automotrices de EE.UU. y las empresas General Motors, Ford Motors y </w:t>
      </w:r>
      <w:proofErr w:type="spellStart"/>
      <w:r w:rsidRPr="00A74179">
        <w:rPr>
          <w:rFonts w:ascii="Arial" w:hAnsi="Arial" w:cs="Arial"/>
          <w:sz w:val="18"/>
          <w:szCs w:val="18"/>
        </w:rPr>
        <w:t>Stellantis</w:t>
      </w:r>
      <w:proofErr w:type="spellEnd"/>
      <w:r w:rsidRPr="00A74179">
        <w:rPr>
          <w:rFonts w:ascii="Arial" w:hAnsi="Arial" w:cs="Arial"/>
          <w:sz w:val="18"/>
          <w:szCs w:val="18"/>
        </w:rPr>
        <w:t xml:space="preserve">, en los meses de septiembre y octubre de 2023, con repercusiones principales en la industria mexicana de autopartes. </w:t>
      </w:r>
    </w:p>
    <w:p w14:paraId="2B5F287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pesar de lo anterior, el intercambio comercial con el resto del mundo fue positivo, el turismo continuó creciendo y México recibió flujos elevados de IED, en un ambiente en el que el indicador global de confianza empresarial se encontró en niveles récord. Finalmente, en el sistema financiero, la banca se mantuvo con niveles sanos de capitalización, mientras que los flujos comerciales y financieros hacia el país continuaron ingresando al punto de que las reservas internacionales alcanzaron máximos históricos. En dicho contexto, con base en la estimación oportuna del PIB para el cuarto trimestre de 2023, la actividad económica registró un crecimiento de 0.1% trimestral, con cifras ajustadas por estacionalidad. </w:t>
      </w:r>
    </w:p>
    <w:p w14:paraId="2D7290E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Si bien, dicho aumento se moderó respecto al de los trimestres anteriores, se registraron nueve trimestres de alza trimestral continua. Al interior, las actividades primarias registraron una disminución de 1.1% trimestral, mientras que los servicios aumentaron 0.1% y la producción industrial no registró cambio respecto al periodo anterior. De acuerdo con el Indicador Global de la Actividad Económica (IGAE), entre octubre y noviembre de 2023, la economía mexicana decreció 0.1% bimestral con cifras ajustadas por estacionalidad. Lo anterior se explicó por la caída de la </w:t>
      </w:r>
      <w:r w:rsidRPr="00A74179">
        <w:rPr>
          <w:rFonts w:ascii="Arial" w:hAnsi="Arial" w:cs="Arial"/>
          <w:sz w:val="18"/>
          <w:szCs w:val="18"/>
        </w:rPr>
        <w:lastRenderedPageBreak/>
        <w:t xml:space="preserve">agricultura, la cual estuvo afectada por las condiciones climatológicas en el país, y que no pudo ser compensada con los incrementos de la industria y los servicios. </w:t>
      </w:r>
    </w:p>
    <w:p w14:paraId="48E2878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Estas últimas actividades tuvieron un desempeño positivo por la demanda internacional que aumentó la producción de algunas manufacturas de exportación, mientras que la capacidad productiva benefició a los servicios relacionados con la infraestructura, así como en el sector de la construcción. En particular, el desempeño bimestral de las actividades fue el siguiente, con cifras ajustadas por estacionalidad: </w:t>
      </w:r>
    </w:p>
    <w:p w14:paraId="3576B07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Las actividades primarias retrocedieron 2.6%, luego de presentar alzas en los últimos cuatro bimestres. Lo anterior fue resultado de la afectación de las sequías en algunos cultivos, las cuales se acentuaron en un mayor número de municipios desde septiembre de 2023. </w:t>
      </w:r>
    </w:p>
    <w:p w14:paraId="1795C04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La producción industrial aumentó 0.1%, de manera que acumuló cuatro bimestres de crecimiento continuo, derivado de los incrementos de la construcción y las manufacturas, lo cual compensó el retroceso de la minería y la generación de energía. Con cifras ajustadas por estacionalidad, se describe a continuación el comportamiento sectorial del bimestre octubre a noviembre: </w:t>
      </w:r>
    </w:p>
    <w:p w14:paraId="626FF25E"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La minería se contrajo 0.6% por los servicios relacionados al sector (- 2.5%) derivado, principalmente, de la perforación de pozos petroleros relacionados con las obras de plantas </w:t>
      </w:r>
      <w:proofErr w:type="spellStart"/>
      <w:r w:rsidRPr="00A74179">
        <w:rPr>
          <w:rFonts w:ascii="Arial" w:hAnsi="Arial" w:cs="Arial"/>
          <w:sz w:val="18"/>
          <w:szCs w:val="18"/>
        </w:rPr>
        <w:t>coquizadoras</w:t>
      </w:r>
      <w:proofErr w:type="spellEnd"/>
      <w:r w:rsidRPr="00A74179">
        <w:rPr>
          <w:rFonts w:ascii="Arial" w:hAnsi="Arial" w:cs="Arial"/>
          <w:sz w:val="18"/>
          <w:szCs w:val="18"/>
        </w:rPr>
        <w:t>. En cuanto a los minerales no metálicos y la extracción de petróleo y gas, éstos retrocedieron en 0.4% cada uno.</w:t>
      </w:r>
    </w:p>
    <w:p w14:paraId="711E6F6A"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Después de dos bimestres de crecimientos, la generación de electricidad, agua y suministro de gas disminuyó 0.3%, explicado principalmente por el precio internacional del gas en octubre que incrementó los costos de producción, así como la reducción de la cantidad de agua en las presas que impactó la generación de energía hidráulica y la menor demanda por electricidad en Guerrero tras el huracán Otis. </w:t>
      </w:r>
    </w:p>
    <w:p w14:paraId="582CD750"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Beneficiada por una baja inflación de materiales para el mercado inmobiliario respecto a años anteriores y el aumento del crédito a la vivienda, la construcción creció 1.0% derivado del incremento de la edificación, cuyo crecimiento de 4.7% fue el más alto desde 2020. Los trabajos especializados, al aumentar 2.7% en el bimestre, acumularon tres bimestres de alza continua. La base de comparación retadora afectó a las obras de ingeniería civil y la obra pesada, que cayeron 9.3%. </w:t>
      </w:r>
    </w:p>
    <w:p w14:paraId="6139A47A"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Las manufacturas aumentaron 0.1%, principalmente en aquellas cuya producción tiene como destino el mercado internacional. Así, 12 de 21 industrias crecieron, como la fabricación de maquinaria y equipo (1.0%), el equipo de computación y otros equipos electrónicos (3.5%) y, la fabricación de equipo de transporte (0.8%). Por otro lado, cayeron algunas industrias con destino el mercado nacional, como la alimentaria (- 0.2%), fabricación de insumos textiles (- 3.5%) y productos de cuero y piel (- 2.5%). </w:t>
      </w:r>
    </w:p>
    <w:p w14:paraId="57E050B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Los servicios crecieron 0.1%, prolongando la racha positiva iniciada desde finales de 2021. Lo anterior se derivó del incremento de 8 de los 14 subsectores, principalmente aquellos relacionados a los mayores niveles de inversión en el país. En particular, su comportamiento bimestral fue el siguiente, con cifras ajustadas por estacionalidad: </w:t>
      </w:r>
    </w:p>
    <w:p w14:paraId="66E47A70"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Los servicios que aumentaron fueron: transportes, correos y almacenamiento (0.2%); inmuebles y bienes de alquiler(0.3%); profesionales, científicos y técnicos (0.3%); actividades del gobierno (0.2%); apoyo a los negocios (4.2%); servicios educativos (0.5%); salud y asistencia social (1.0%); y otros servicios (0.2%). </w:t>
      </w:r>
    </w:p>
    <w:p w14:paraId="58F66A3F"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o Dentro de los servicios que presentaron caídas se encontraron: el comercio al por mayor y menor (- 0.2 y - 0.5%, respectivamente); información en medios masivos (- 2.3%); financieros y de seguros (- 0.6%); esparcimiento, culturales y deportivos (- 2.6%); y alojamiento temporal y preparación de alimentos (- 0.3%).</w:t>
      </w:r>
    </w:p>
    <w:p w14:paraId="2085246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al PIB por el lado del gasto, en el tercer trimestre de 2023, la demanda agregada registró un crecimiento nulo con respecto al trimestre anterior, lo que se explicó por la caída de las exportaciones y el menor ritmo de aumento de la inversión, que no se compensó con el crecimiento del consumo. Adicionalmente, por el lado de la oferta agregada, las importaciones disminuyeron por primera vez en el año. </w:t>
      </w:r>
    </w:p>
    <w:p w14:paraId="2F5199B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particular, la reducción de 3.5% trimestral de las exportaciones de bienes y servicios, con cifras ajustadas por estacionalidad, obedeció principalmente al componente no petrolero, en el contexto de la apreciación del peso respecto al dólar estadounidense. Por su parte, el aumento de 4.4% trimestral de la inversión, fue menor que el trimestre previo por la inversión privada, la cual moderó su ritmo luego de fuertes alzas en periodos anteriores. </w:t>
      </w:r>
      <w:r w:rsidRPr="00A74179">
        <w:rPr>
          <w:rFonts w:ascii="Arial" w:hAnsi="Arial" w:cs="Arial"/>
          <w:sz w:val="18"/>
          <w:szCs w:val="18"/>
        </w:rPr>
        <w:lastRenderedPageBreak/>
        <w:t xml:space="preserve">Cabe destacar que la inversión como porcentaje del PIB ascendió a 24.7%, el cual fue el nivel porcentual más alto alcanzado desde 2016. </w:t>
      </w:r>
    </w:p>
    <w:p w14:paraId="5F8616A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Los aumentos de la masa salarial y los altos niveles de confianza del consumidor permitieron que el consumo se acelerara trimestralmente y creciera 1.1%, principalmente por el rubro de consumo privado. Por otro lado, la reducción trimestral de 2.3% de las importaciones de bienes y servicios obedeció a los bienes intermedios, particularmente los relacionados con el equipo eléctrico y electrónico, ante una menor demanda externa que repercutió en las importaciones de insumos para la producción nacional. Respecto a los indicadores mensuales de la demanda nacional, el dato más reciente para octubre del consumo privado cayó 0.3% mensual, con cifras ajustadas por estacionalidad. </w:t>
      </w:r>
    </w:p>
    <w:p w14:paraId="7137593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Lo anterior se explicó por el decremento de los bienes importados en 1.6% mensual, luego de alcanzar un nivel máximo histórico en el mes anterior. En su interior, retrocedieron las mercancías duraderas y </w:t>
      </w:r>
      <w:proofErr w:type="spellStart"/>
      <w:r w:rsidRPr="00A74179">
        <w:rPr>
          <w:rFonts w:ascii="Arial" w:hAnsi="Arial" w:cs="Arial"/>
          <w:sz w:val="18"/>
          <w:szCs w:val="18"/>
        </w:rPr>
        <w:t>semiduraderas</w:t>
      </w:r>
      <w:proofErr w:type="spellEnd"/>
      <w:r w:rsidRPr="00A74179">
        <w:rPr>
          <w:rFonts w:ascii="Arial" w:hAnsi="Arial" w:cs="Arial"/>
          <w:sz w:val="18"/>
          <w:szCs w:val="18"/>
        </w:rPr>
        <w:t xml:space="preserve">, mientras que los bienes importados esenciales hilaron cuatro meses al alza. Adicionalmente, si bien los servicios nacionales disminuyeron en 0.7% mensual, su nivel continúa dentro de los más altos desde que se tiene registro. A la par, los bienes nacionales aumentaron en 0.4% mensual por las alzas de los bienes duraderos y </w:t>
      </w:r>
      <w:proofErr w:type="spellStart"/>
      <w:r w:rsidRPr="00A74179">
        <w:rPr>
          <w:rFonts w:ascii="Arial" w:hAnsi="Arial" w:cs="Arial"/>
          <w:sz w:val="18"/>
          <w:szCs w:val="18"/>
        </w:rPr>
        <w:t>semiduraderos</w:t>
      </w:r>
      <w:proofErr w:type="spellEnd"/>
      <w:r w:rsidRPr="00A74179">
        <w:rPr>
          <w:rFonts w:ascii="Arial" w:hAnsi="Arial" w:cs="Arial"/>
          <w:sz w:val="18"/>
          <w:szCs w:val="18"/>
        </w:rPr>
        <w:t>.</w:t>
      </w:r>
    </w:p>
    <w:p w14:paraId="366D3F7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Referente a la cifra más reciente de la inversión fija bruta, en octubre se registró un alza mensual de 1.9%, con cifras ajustadas por estacionalidad. Con ello, se recuperó el nivel previo luego de su caída en septiembre. Lo anterior reflejó los altos niveles de la confianza empresarial, así como las inversiones en infraestructura por parte del sector público y la relocalización de cadenas productivas del sector privado. </w:t>
      </w:r>
    </w:p>
    <w:p w14:paraId="5B359B6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su interior, la construcción aumentó en 4.0% mensual, derivado del alza de la construcción residencial en 11.3% —el mayor aumento desde abril de 2015, sin considerar 2020— y la no residencial en 1.6%. Por su parte, la maquinaria y equipo importada decreció en 0.5% de septiembre a octubre y la de origen nacional en 1.7% en el mismo periodo, siendo que en ambos casos el equipo de transporte fue el menos afectado.</w:t>
      </w:r>
    </w:p>
    <w:p w14:paraId="2C66088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sectores económicos, en el cuarto trimestre de 2023, la industria presentó el mayor dinamismo en el empleo con un crecimiento trimestral de 179 mil personas ocupadas. En su interior, destacó el aumento de las manufacturas (131 mil) y la construcción (46 mil). Por su parte, si bien los servicios disminuyeron su personal ocupado en 120 mil personas, algunos servicios aumentaron como servicios sociales (78 mil), transporte, correo y almacenamiento (61 mil), gobierno y organismos internacionales (25 mil) y restaurantes y servicios de alojamiento (24 mil). Asimismo, las actividades primarias, que fueron afectadas por la escasez de trabajadores y por factores climáticos adversos, disminuyeron en 379 mil personas durante el cuarto trimestre. </w:t>
      </w:r>
    </w:p>
    <w:p w14:paraId="0C3701D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Con el incremento en el nivel de ocupación, la tasa de participación laboral registró un promedio de 60.4% en el cuarto trimestre, con lo que en el promedio del año se alcanzó la mayor tasa desde 2013. Lo anterior se explicó por el aumento de la población económicamente activa, particularmente de las mujeres, debido a las mejores condiciones laborales, lo cual también condujo a que la tasa de participación promedio de 2023 de ese segmento alcanzara un nuevo máximo desde que inició el registro estadístico en 2005 (46.2%). Por otro lado, en el cuarto trimestre de 2023, la tasa de informalidad laboral se ubicó en un promedio de 54.6%, siendo inferior en 0.5 </w:t>
      </w:r>
      <w:proofErr w:type="spellStart"/>
      <w:r w:rsidRPr="00A74179">
        <w:rPr>
          <w:rFonts w:ascii="Arial" w:hAnsi="Arial" w:cs="Arial"/>
          <w:sz w:val="18"/>
          <w:szCs w:val="18"/>
        </w:rPr>
        <w:t>pp</w:t>
      </w:r>
      <w:proofErr w:type="spellEnd"/>
      <w:r w:rsidRPr="00A74179">
        <w:rPr>
          <w:rFonts w:ascii="Arial" w:hAnsi="Arial" w:cs="Arial"/>
          <w:sz w:val="18"/>
          <w:szCs w:val="18"/>
        </w:rPr>
        <w:t xml:space="preserve"> al trimestre anterior, con lo que consolidó su tendencia a la baja. A su vez, la tasa de desocupación registró un promedio de 2.7%, con lo cual en 2023 se ubicó en el nivel más bajo desde que se tiene registro (2.8%). </w:t>
      </w:r>
    </w:p>
    <w:p w14:paraId="167A16D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su interior, la mayor reducción en la población desocupada se observó en el grupo de edad de 25 a 44 años (- 99 mil), seguido de 15 a 24 años (- 67 mil) y de 45 a 64 años (- 25 mil). Además, la población con un nivel de instrucción medio superior y superior se redujo en 114 mil respecto al trimestre anterior, lo cual fue superior a la caída trimestral de la población con hasta seis años de escolaridad (- 17 mil). Finalmente, la población </w:t>
      </w:r>
      <w:proofErr w:type="spellStart"/>
      <w:r w:rsidRPr="00A74179">
        <w:rPr>
          <w:rFonts w:ascii="Arial" w:hAnsi="Arial" w:cs="Arial"/>
          <w:sz w:val="18"/>
          <w:szCs w:val="18"/>
        </w:rPr>
        <w:t>subocupada</w:t>
      </w:r>
      <w:proofErr w:type="spellEnd"/>
      <w:r w:rsidRPr="00A74179">
        <w:rPr>
          <w:rFonts w:ascii="Arial" w:hAnsi="Arial" w:cs="Arial"/>
          <w:sz w:val="18"/>
          <w:szCs w:val="18"/>
        </w:rPr>
        <w:t xml:space="preserve"> disminuyó en 114 mil personas respecto al trimestre anterior, de tal manera que la tasa de subocupación promedio en el trimestre fue de 7.9%, inferior a los dos trimestres anteriores. En cuanto a la población disponible para trabajar, ésta se redujo respecto al trimestre anterior en 25 mil personas, principalmente por la población que considera que hay más posibilidades para encontrar empleo. Con relación a los empleos reportados por el IMSS, a diciembre de 2023 se registraron 651 mil nuevas plazas, lo cual se encontró por arriba de su promedio histórico (631 mil) por tercer año consecutivo. </w:t>
      </w:r>
    </w:p>
    <w:p w14:paraId="715A205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Además, con cifras ajustadas por estacionalidad, en diciembre de 2023 los empleos aumentaron en 124 mil respecto a septiembre del mismo año derivado del incremento de las plazas permanentes en más de 90 mil. </w:t>
      </w:r>
      <w:r w:rsidRPr="00A74179">
        <w:rPr>
          <w:rFonts w:ascii="Arial" w:hAnsi="Arial" w:cs="Arial"/>
          <w:sz w:val="18"/>
          <w:szCs w:val="18"/>
        </w:rPr>
        <w:lastRenderedPageBreak/>
        <w:t xml:space="preserve">Mientras tanto, los empleos eventuales aumentaron en 7 mil durante el mismo periodo, principalmente en el sector de la construcción. Por sectores económicos, el crecimiento de los empleos a diciembre de 2023 se observó en el comercio (173 mil), los servicios de empresas y hogares (144 mil), la construcción (136 mil), el transporte (90 mil), las manufacturas (72 mil), los servicios sociales (48 mil) y electricidad (2 mil). Por su parte, el sector agropecuario y la industria extractiva concentraron los retrocesos de 10 mil y 4 mil, respectivamente. En cuanto al empleo regional, con datos del IMSS, al cierre de 2023, 29 estados registraron crecimientos anuales. </w:t>
      </w:r>
    </w:p>
    <w:p w14:paraId="1272479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Entre éstos, destacaron los aumentos en la Ciudad de México (79 mil), Nuevo León (75 mil), Estado de México (64 mil), Jalisco (62 mil) y Guanajuato (43 mil), los cuales concentraron el 50% del total de las plazas. Por otra parte, disminuyó anualmente el empleo en Guerrero (- 3 mil) debido al impacto del huracán Otis; en Tabasco (- 2 mil) derivado de una menor contratación en la construcción de la refinería de Dos Bocas; y en Durango (- 230) por una menor demanda de empleos en el sector de las manufacturas. En cuanto a los salarios reales promedio registrados en el IMSS, éstos continuaron su racha positiva y crecieron 6.0% durante el cuarto trimestre, de manera que registraron 24 trimestres consecutivos de crecimientos. </w:t>
      </w:r>
    </w:p>
    <w:p w14:paraId="713F3DE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Los mayores aumentos se dieron en los sectores de construcción (10.3%), agricultura (10.1%), manufacturas (6.9%) y los servicios para empresas y hogares (6.2%). Por regiones, los salarios del IMSS tuvieron el mayor incremento real anual del trimestre en el norte (6.9%), seguido del sur (5.9%), y el centro (5.4%). Con información de la ENOE, el salario real tuvo un crecimiento anual de 9.0% en el promedio del trimestre. Finalmente, los salarios contractuales en la jurisdicción federal tuvieron un aumento real anual 2.5%, en beneficio 422 mil trabajadores.</w:t>
      </w:r>
    </w:p>
    <w:p w14:paraId="241E2BA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Así, en el cuarto trimestre de 2023, la inflación general anual disminuyó por quinto trimestre consecutivo y alcanzó la menor tasa anual desde el primer trimestre de 2021; al promediar 4.4% anual, disminuyó en 0.2 </w:t>
      </w:r>
      <w:proofErr w:type="spellStart"/>
      <w:r w:rsidRPr="00A74179">
        <w:rPr>
          <w:rFonts w:ascii="Arial" w:hAnsi="Arial" w:cs="Arial"/>
          <w:sz w:val="18"/>
          <w:szCs w:val="18"/>
        </w:rPr>
        <w:t>pp</w:t>
      </w:r>
      <w:proofErr w:type="spellEnd"/>
      <w:r w:rsidRPr="00A74179">
        <w:rPr>
          <w:rFonts w:ascii="Arial" w:hAnsi="Arial" w:cs="Arial"/>
          <w:sz w:val="18"/>
          <w:szCs w:val="18"/>
        </w:rPr>
        <w:t xml:space="preserve"> respecto al trimestre previo. En su interior, la inflación subyacente se ubicó en 5.3% anual, menor en 0.9 </w:t>
      </w:r>
      <w:proofErr w:type="spellStart"/>
      <w:r w:rsidRPr="00A74179">
        <w:rPr>
          <w:rFonts w:ascii="Arial" w:hAnsi="Arial" w:cs="Arial"/>
          <w:sz w:val="18"/>
          <w:szCs w:val="18"/>
        </w:rPr>
        <w:t>pp</w:t>
      </w:r>
      <w:proofErr w:type="spellEnd"/>
      <w:r w:rsidRPr="00A74179">
        <w:rPr>
          <w:rFonts w:ascii="Arial" w:hAnsi="Arial" w:cs="Arial"/>
          <w:sz w:val="18"/>
          <w:szCs w:val="18"/>
        </w:rPr>
        <w:t xml:space="preserve"> respecto al tercer trimestre de 2023. En cambio, la inflación del componente no subyacente se ubicó en 1.8% anual, con lo que aumentó en 1.7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comparación con el trimestre anterior. </w:t>
      </w:r>
    </w:p>
    <w:p w14:paraId="674AE79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Puntualmente, la tendencia a la baja en la inflación subyacente anual obedeció a que el rubro de mercancías se situó en 5.3%, lo cual fue 1.7 </w:t>
      </w:r>
      <w:proofErr w:type="spellStart"/>
      <w:r w:rsidRPr="00A74179">
        <w:rPr>
          <w:rFonts w:ascii="Arial" w:hAnsi="Arial" w:cs="Arial"/>
          <w:sz w:val="18"/>
          <w:szCs w:val="18"/>
        </w:rPr>
        <w:t>pp</w:t>
      </w:r>
      <w:proofErr w:type="spellEnd"/>
      <w:r w:rsidRPr="00A74179">
        <w:rPr>
          <w:rFonts w:ascii="Arial" w:hAnsi="Arial" w:cs="Arial"/>
          <w:sz w:val="18"/>
          <w:szCs w:val="18"/>
        </w:rPr>
        <w:t xml:space="preserve"> inferior respecto al trimestre previo derivado de algunos alimentos procesados, artículos para el cuidado personal, televisores y automóviles. Adicionalmente, al ubicarse en 5.3% anual, la inflación de servicios aumentó en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del trimestre anterior, explicado principalmente por los servicios de telefonía móvil, turísticos y educativos. En contraparte, otros genéricos redujeron las presiones al disminuir su inflación, dentro de los cuales se encuentran los servicios relacionados con alimentos, servicios médicos y mantenimiento de automóvil.</w:t>
      </w:r>
    </w:p>
    <w:p w14:paraId="1C5609A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ese contexto, durante el cuarto trimestre de 2023, el valor de las exportaciones no petroleras disminuyó 0.7% trimestral, con cifras ajustadas por estacionalidad. En su interior, se registró una contracción de 0.8% en las exportaciones manufactureras automotrices, 0.5% en las exportaciones no automotrices, como la maquinaria y equipo, y de 7.4% en las extractivas. Lo anterior contrarrestó el aumento de 0.9% observado en las exportaciones agropecuarias durante el mismo período. </w:t>
      </w:r>
    </w:p>
    <w:p w14:paraId="36B33B0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al destino de las exportaciones manufactureras, en el cuarto trimestre de 2023 y con datos ajustados por estacionalidad, el valor de aquellas dirigidas a EE.UU. se redujo 0.8% trimestral. Detrás de este resultado se encontró la caída de 1.3% de las exportaciones automotrices, explicada por la huelga del sindicato automotriz estadounidense y la disminución de 0.5% trimestral del valor de las no automotrices. Por su parte, el valor de las exportaciones manufactureras destinadas al resto del mundo decreció 0.2% trimestral; sin embargo, destacó que el valor de las automotrices aumentó 1.3% trimestral, principalmente de aquellas dirigidas a Canadá. </w:t>
      </w:r>
    </w:p>
    <w:p w14:paraId="32DD47E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otra parte, el valor de las exportaciones de productos petroleros se redujo 4.9% trimestral. Este resultado se atribuyó principalmente a la caída del precio de la mezcla mexicana de exportación en 2.8% trimestral, así como a una reducción de 8.7% en el volumen de crudo exportado. Aunado a lo anterior, el valor de las importaciones no petroleras disminuyó 1.1% trimestral, una vez descontado el efecto estacional. Este comportamiento obedeció a la caída de los bienes intermedios no petroleros (- 1.8%) y de capital (- 1.5%). </w:t>
      </w:r>
    </w:p>
    <w:p w14:paraId="4937AC5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caso de los bienes intermedios, éstos respondieron a una menor demanda de los productos finales, en donde destacó la reducción en el valor de las importaciones de equipo eléctrico y electrónico, así como de aparatos ópticos y médicos. No obstante, las importaciones de consumo no petrolero aumentaron 3.5% durante el trimestre. </w:t>
      </w:r>
      <w:r w:rsidRPr="00A74179">
        <w:rPr>
          <w:rFonts w:ascii="Arial" w:hAnsi="Arial" w:cs="Arial"/>
          <w:sz w:val="18"/>
          <w:szCs w:val="18"/>
        </w:rPr>
        <w:lastRenderedPageBreak/>
        <w:t xml:space="preserve">El valor de las importaciones petroleras decreció 15.2% trimestral por la caída de los precios internacionales de los petrolíferos como la gasolina, el diésel y el gas LP. </w:t>
      </w:r>
    </w:p>
    <w:p w14:paraId="155F20E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su interior, destacó la reducción durante el bimestre de octubre a noviembre y con datos ajustados por estacionalidad4 de los componentes de gas natural, gasolina y diésel en 0.6, 23.2 y 14.4% respectivamente. De esta manera, la balanza comercial mostró un superávit de 4 mil 620 millones de dólares en el cuarto trimestre de 2023, lo que contrastó con el déficit de 3 mil 740 millones del trimestre anterior. </w:t>
      </w:r>
    </w:p>
    <w:p w14:paraId="3D193D3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cambio se debió al aumento del superávit en la balanza no petrolera de 6 mil 528 millones de dólares, frente a los 534 millones del periodo anterior. Además, la balanza petrolera redujo su déficit, al pasar de 4 mil 274 millones a mil 908 millones de dólares en el mismo periodo.</w:t>
      </w:r>
    </w:p>
    <w:p w14:paraId="296B626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 la cuenta corriente, la información más reciente disponible al tercer trimestre de 2023 reveló un saldo superavitario de 2 mil 628 millones de dólares, equivalente al 0.6% del PIB con datos anualizados. Este saldo contrastó con el déficit registrado en el mismo trimestre de 2022, que ascendió a 6 mil 387 millones de dólares, lo que representó un déficit de 1.7% del PIB. El cambio anual en la cuenta corriente se atribuyó principalmente a que la balanza no petrolera pasó de un déficit en el mismo periodo de 2022 a un superávit y al incremento de los ingresos por remesas, así como la reducción del déficit en la balanza comercial petrolera y del déficit en la balanza de ingreso primario. </w:t>
      </w:r>
    </w:p>
    <w:p w14:paraId="2B88450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Estos factores fueron compensados parcialmente por un aumento del saldo deficitario de la balanza de servicios. En consonancia con el desempeño de la cuenta corriente, se observó una salida de recursos en la cuenta financiera que implicó un préstamo neto de México al resto del mundo por un monto de 4 mil 316 millones de dólares. Este resultado contrastó con la entrada neta de 7 mil 11 millones de dólares registrado en el mismo periodo del año anterior. </w:t>
      </w:r>
    </w:p>
    <w:p w14:paraId="28E96B6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Dicho comportamiento resultó de la mayor salida de recursos en el rubro de inversión de cartera, así como a una menor entrada de recursos en otras inversiones por las sociedades no financieras, hogares e instituciones sin fines de lucro al servicio de los hogares. Mientras que, la inversión directa y los derivados financieros registraron una salida de recursos, contrario a lo observado en el mismo trimestre de 2022, principalmente por la salida de inversión directa de mexicanos al exterior.</w:t>
      </w:r>
    </w:p>
    <w:p w14:paraId="5DED0705"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 2023, el sistema financiero mexicano experimentó condiciones financieras relativamente más favorables con respecto al trimestre previo, en especial hacia el cierre del año, derivado de la expectativa del fin del ciclo de alza de tasas en EE.UU. Como resultado, el peso mexicano mostró una apreciación con respecto al dólar, las tasas de interés soberanas y el riesgo país disminuyeron, el mercado accionario reportó ganancias y el crédito bancario siguió incrementándose, con niveles de capitalización elevados y baja morosidad. Al 29 de diciembre, el tipo de cambio se ubicó en 17.0 pesos por dólar estadounidense, lo que representó una apreciación de 2.7% respecto al nivel observado al 29 de septiembre de 2023. </w:t>
      </w:r>
    </w:p>
    <w:p w14:paraId="6E0BA4EB"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Dicha apreciación estuvo en línea con otras economías emergentes, tales como el peso colombiano, el real brasileño y el rand sudafricano de 5.5, 3.6, y 3.1%, respectivamente. Por su parte, la volatilidad implícita del tipo de cambio a un mes durante el cuarto trimestre se ubicó en 11.2%, 0.6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arriba del promedio del trimestre previo. La fortaleza del tipo de cambio en México se debe a los sólidos fundamentales macroeconómicos, el bajo déficit en cuenta corriente, la estabilidad política y social del país, así como el amplio diferencial de tasas de referencia con EE.UU. </w:t>
      </w:r>
    </w:p>
    <w:p w14:paraId="7F7A453A" w14:textId="69333F2E"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el Banco de México mantuvo sin cambios su tasa de interés objetivo en 11.25% en sus dos últimas reuniones del año, el 9 de noviembre y el 14 de diciembre de 2023. Asimismo, en su último anuncio de política monetaria, la Junta de Gobierno expresó preocupación en torno a la persistencia de la inflación subyacente que, si bien continuó descendiendo, mostró presiones asociadas a los precios de mercancías alimenticias y servicios. Por tal motivo, el banco central revisó al alza sus proyecciones de inflación general y subyacente, anticipando una convergencia a la meta hacia el segundo trimestre de 2025.</w:t>
      </w:r>
    </w:p>
    <w:p w14:paraId="0010561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otro lado, la aversión al riesgo hacia economías emergentes disminuyó durante el cuarto trimestre. Los CDS a cinco años para la deuda soberana de México se ubicaron en 88.5 pb al 29 de diciembre, 39 pb por debajo del valor observado al cierre de septiembre, y 52 pb por debajo del promedio de 2022. Esta disminución se mantuvo en línea con lo observado en otros países que mantienen la misma calificación crediticia que México para su deuda </w:t>
      </w:r>
      <w:r w:rsidRPr="00A74179">
        <w:rPr>
          <w:rFonts w:ascii="Arial" w:hAnsi="Arial" w:cs="Arial"/>
          <w:sz w:val="18"/>
          <w:szCs w:val="18"/>
        </w:rPr>
        <w:lastRenderedPageBreak/>
        <w:t xml:space="preserve">soberana de largo plazo, como Italia y Perú, cuyo riesgo crediticio disminuyó en 29.4 y 16.4, respectivamente, mientras que el de Panamá aumentó 29.1 durante el mismo periodo. </w:t>
      </w:r>
    </w:p>
    <w:p w14:paraId="3DD6CC9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cuanto al mercado de renta fija, se observaron disminuciones generalizadas en las tasas de interés a lo largo de la curva de rendimientos, principalmente en los nodos de mediano y largo plazo. Lo anterior, como respuesta a la expectativa del mercado de que el Banco de México comenzará a reducir su tasa de política monetaria en 2024, de acuerdo con el último comunicado, en línea con lo esperado en otras economías avanzadas, en especial EE.UU. Así, la pendiente de 10 y 2 años se mantuvo negativa, ubicándose en - 96 pb al 29 de diciembre, mientras que el rendimiento de los bonos del Gobierno Federal en moneda nacional a 10 años se ubicó en 8.9%, lo cual reflejó una reducción de 93 pb en relación con el cierre del trimestre previo.</w:t>
      </w:r>
    </w:p>
    <w:p w14:paraId="7701697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61C4B30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201063D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469EF31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57B4624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34BE33E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5189191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Indicador Trimestral de la Actividad Económica Estatal (ITAEE), reveló para el caso de Tlaxcala que la variación trimestral de la actividad económica fue de 1.5% a tasa anual respecto al mismo periodo de 2022, con lo que la economía del Estado de Tlaxcala se ha mantenido fluctuante, ubicándose por debajo de la media nacional que es de 3.3%.</w:t>
      </w:r>
    </w:p>
    <w:p w14:paraId="38DB4C7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cuanto a las actividades primarias, la media nacional del Indicador Trimestral de la Actividad Económica se ubicó en 5.7% con respecto al mismo trimestre pero del año anterior, indicador que colocó a Tlaxcala en 9.2% de variación anual, principalmente por el comportamiento de la agricultura, cría y explotación de animales. Con ello, Tlaxcala se situó en el lugar 11 a nivel nacional.</w:t>
      </w:r>
    </w:p>
    <w:p w14:paraId="418E0DD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Respecto a las actividades secundarias que comprende los sectores dedicados a la industria de la minería, manufacturas, construcción y electricidad con corte al tercer trimestre del año 2023 y en comparación con el 2022, la variación de la entidad tlaxcalteca fue de -1.6% mientras que la media nacional fue de 4.3%, ubicando a Tlaxcala en el lugar 26 de entre las 32 Entidades Federativas del país.</w:t>
      </w:r>
    </w:p>
    <w:p w14:paraId="128E125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otro lado, las actividades terciarias que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crecieron en su comparativo anual un 3.1%, cuando la media nacional fue de 2.7%, lo que ubicó a Tlaxcala en el lugar 11 a nivel nacional, siendo el Estado de Oaxaca quien generó una mayor variación positiva con un 5.4%.</w:t>
      </w:r>
    </w:p>
    <w:p w14:paraId="17FA555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tercer trimestre de 2023 y con cifras desestacionalizadas, las entidades federativas que registraron los incrementos más pronunciados en su actividad económica, respecto al trimestre anterior, fueron: Quintana Roo, Nayarit, Aguascalientes, Nuevo León, San Luis Potosí, Sonora y Yucatán.</w:t>
      </w:r>
    </w:p>
    <w:p w14:paraId="5FF45C7E" w14:textId="58B74688"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drawing>
          <wp:inline distT="0" distB="0" distL="0" distR="0" wp14:anchorId="5B8A452E" wp14:editId="7D80FEAE">
            <wp:extent cx="4246880" cy="4431665"/>
            <wp:effectExtent l="0" t="0" r="1270" b="6985"/>
            <wp:docPr id="7909693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31459" t="25598" r="32687" b="7814"/>
                    <a:stretch>
                      <a:fillRect/>
                    </a:stretch>
                  </pic:blipFill>
                  <pic:spPr bwMode="auto">
                    <a:xfrm>
                      <a:off x="0" y="0"/>
                      <a:ext cx="4246880" cy="4431665"/>
                    </a:xfrm>
                    <a:prstGeom prst="rect">
                      <a:avLst/>
                    </a:prstGeom>
                    <a:noFill/>
                    <a:ln>
                      <a:noFill/>
                    </a:ln>
                  </pic:spPr>
                </pic:pic>
              </a:graphicData>
            </a:graphic>
          </wp:inline>
        </w:drawing>
      </w:r>
    </w:p>
    <w:p w14:paraId="3C8D279D"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Al mes de febrero de 2024 la tasa de ocupación reflejó una participación del 1% al total nacional, presentando un incremento de 1,060, puestos de trabajo permanentes respecto a diciembre de 2023. Al mes de febrero de 2024, se tienen registrados 115,440 trabajadores asegurados en el IMSS, tal y como se muestra en los cuadros siguientes:</w:t>
      </w:r>
    </w:p>
    <w:p w14:paraId="7ECF1ABB" w14:textId="77777777" w:rsidR="00A74179" w:rsidRDefault="00A74179" w:rsidP="00A74179">
      <w:pPr>
        <w:tabs>
          <w:tab w:val="left" w:pos="284"/>
        </w:tabs>
        <w:ind w:left="284"/>
        <w:jc w:val="both"/>
        <w:rPr>
          <w:rFonts w:ascii="Arial" w:hAnsi="Arial" w:cs="Arial"/>
          <w:sz w:val="18"/>
          <w:szCs w:val="18"/>
        </w:rPr>
      </w:pPr>
    </w:p>
    <w:p w14:paraId="6E7F3374" w14:textId="77777777" w:rsidR="00A74179" w:rsidRDefault="00A74179" w:rsidP="00A74179">
      <w:pPr>
        <w:tabs>
          <w:tab w:val="left" w:pos="284"/>
        </w:tabs>
        <w:ind w:left="284"/>
        <w:jc w:val="both"/>
        <w:rPr>
          <w:rFonts w:ascii="Arial" w:hAnsi="Arial" w:cs="Arial"/>
          <w:sz w:val="18"/>
          <w:szCs w:val="18"/>
        </w:rPr>
      </w:pPr>
    </w:p>
    <w:p w14:paraId="2E4CD144" w14:textId="77777777" w:rsidR="00A74179" w:rsidRDefault="00A74179" w:rsidP="00A74179">
      <w:pPr>
        <w:tabs>
          <w:tab w:val="left" w:pos="284"/>
        </w:tabs>
        <w:ind w:left="284"/>
        <w:jc w:val="both"/>
        <w:rPr>
          <w:rFonts w:ascii="Arial" w:hAnsi="Arial" w:cs="Arial"/>
          <w:sz w:val="18"/>
          <w:szCs w:val="18"/>
        </w:rPr>
      </w:pPr>
    </w:p>
    <w:p w14:paraId="5DE6FDAD" w14:textId="77777777" w:rsidR="00A74179" w:rsidRDefault="00A74179" w:rsidP="00A74179">
      <w:pPr>
        <w:tabs>
          <w:tab w:val="left" w:pos="284"/>
        </w:tabs>
        <w:ind w:left="284"/>
        <w:jc w:val="both"/>
        <w:rPr>
          <w:rFonts w:ascii="Arial" w:hAnsi="Arial" w:cs="Arial"/>
          <w:sz w:val="18"/>
          <w:szCs w:val="18"/>
        </w:rPr>
      </w:pPr>
    </w:p>
    <w:p w14:paraId="40481ECA" w14:textId="77777777" w:rsidR="00A74179" w:rsidRDefault="00A74179" w:rsidP="00A74179">
      <w:pPr>
        <w:tabs>
          <w:tab w:val="left" w:pos="284"/>
        </w:tabs>
        <w:ind w:left="284"/>
        <w:jc w:val="both"/>
        <w:rPr>
          <w:rFonts w:ascii="Arial" w:hAnsi="Arial" w:cs="Arial"/>
          <w:sz w:val="18"/>
          <w:szCs w:val="18"/>
        </w:rPr>
      </w:pPr>
    </w:p>
    <w:p w14:paraId="1B402453" w14:textId="77777777" w:rsidR="00A74179" w:rsidRPr="00A74179" w:rsidRDefault="00A74179" w:rsidP="00A74179">
      <w:pPr>
        <w:tabs>
          <w:tab w:val="left" w:pos="284"/>
        </w:tabs>
        <w:ind w:left="284"/>
        <w:jc w:val="both"/>
        <w:rPr>
          <w:rFonts w:ascii="Arial" w:hAnsi="Arial" w:cs="Arial"/>
          <w:sz w:val="18"/>
          <w:szCs w:val="18"/>
        </w:rPr>
      </w:pPr>
    </w:p>
    <w:p w14:paraId="0E3583B6" w14:textId="468D78CB"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drawing>
          <wp:inline distT="0" distB="0" distL="0" distR="0" wp14:anchorId="628CDC96" wp14:editId="4965EEB6">
            <wp:extent cx="6050238" cy="6543040"/>
            <wp:effectExtent l="0" t="0" r="8255" b="0"/>
            <wp:docPr id="2137322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25948" t="20334" r="23318" b="7254"/>
                    <a:stretch>
                      <a:fillRect/>
                    </a:stretch>
                  </pic:blipFill>
                  <pic:spPr bwMode="auto">
                    <a:xfrm>
                      <a:off x="0" y="0"/>
                      <a:ext cx="6057952" cy="6551382"/>
                    </a:xfrm>
                    <a:prstGeom prst="rect">
                      <a:avLst/>
                    </a:prstGeom>
                    <a:noFill/>
                    <a:ln>
                      <a:noFill/>
                    </a:ln>
                  </pic:spPr>
                </pic:pic>
              </a:graphicData>
            </a:graphic>
          </wp:inline>
        </w:drawing>
      </w:r>
    </w:p>
    <w:p w14:paraId="4E48A9AA" w14:textId="66839EDF"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lastRenderedPageBreak/>
        <w:drawing>
          <wp:inline distT="0" distB="0" distL="0" distR="0" wp14:anchorId="50F74F64" wp14:editId="5B63B5DA">
            <wp:extent cx="5943600" cy="4378960"/>
            <wp:effectExtent l="0" t="0" r="0" b="2540"/>
            <wp:docPr id="1986370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l="22466" t="20882" r="23669" b="8522"/>
                    <a:stretch>
                      <a:fillRect/>
                    </a:stretch>
                  </pic:blipFill>
                  <pic:spPr bwMode="auto">
                    <a:xfrm>
                      <a:off x="0" y="0"/>
                      <a:ext cx="5943600" cy="4378960"/>
                    </a:xfrm>
                    <a:prstGeom prst="rect">
                      <a:avLst/>
                    </a:prstGeom>
                    <a:noFill/>
                    <a:ln>
                      <a:noFill/>
                    </a:ln>
                  </pic:spPr>
                </pic:pic>
              </a:graphicData>
            </a:graphic>
          </wp:inline>
        </w:drawing>
      </w:r>
      <w:r w:rsidRPr="00A74179">
        <w:rPr>
          <w:rFonts w:ascii="Arial" w:hAnsi="Arial" w:cs="Arial"/>
          <w:sz w:val="18"/>
          <w:szCs w:val="18"/>
        </w:rPr>
        <w:t>De acuerdo al Directorio Estadístico Nacional de Unidades Económicas, Tlaxcala cuenta con 82,801 Unidades Económicas al mes de abril de 2024, en los rubros siguientes:</w:t>
      </w:r>
    </w:p>
    <w:p w14:paraId="5ED6ED5A" w14:textId="2E4FF708"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drawing>
          <wp:inline distT="0" distB="0" distL="0" distR="0" wp14:anchorId="3AAD948F" wp14:editId="7E3E4562">
            <wp:extent cx="3511606" cy="3550285"/>
            <wp:effectExtent l="0" t="0" r="0" b="0"/>
            <wp:docPr id="3729560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131" cy="3563959"/>
                    </a:xfrm>
                    <a:prstGeom prst="rect">
                      <a:avLst/>
                    </a:prstGeom>
                    <a:noFill/>
                    <a:ln>
                      <a:noFill/>
                    </a:ln>
                  </pic:spPr>
                </pic:pic>
              </a:graphicData>
            </a:graphic>
          </wp:inline>
        </w:drawing>
      </w:r>
    </w:p>
    <w:p w14:paraId="765C7693" w14:textId="77777777" w:rsidR="00A74179" w:rsidRPr="00A74179" w:rsidRDefault="00A74179" w:rsidP="00A74179">
      <w:pPr>
        <w:ind w:left="2127"/>
        <w:jc w:val="both"/>
        <w:rPr>
          <w:rFonts w:ascii="Arial" w:hAnsi="Arial" w:cs="Arial"/>
          <w:sz w:val="10"/>
          <w:szCs w:val="10"/>
        </w:rPr>
      </w:pPr>
      <w:r w:rsidRPr="00A74179">
        <w:rPr>
          <w:rFonts w:ascii="Arial" w:hAnsi="Arial" w:cs="Arial"/>
          <w:sz w:val="10"/>
          <w:szCs w:val="10"/>
        </w:rPr>
        <w:t>FUENTE: INEGI. DENUE. Abril 2024.</w:t>
      </w:r>
    </w:p>
    <w:p w14:paraId="64D2262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Lo que representa una participación del 1% del Estado en el total nacional. Al cuarto trimestre de 2023 la Población Económicamente Activa (PEA) ascendió a 669,000 personas, representando el 61% de la población en edad de trabajar. Del total de la PEA, el 96% está ocupada y el 4% se encuentra desocupada.</w:t>
      </w:r>
    </w:p>
    <w:p w14:paraId="6F5A913A" w14:textId="04D9EEC4"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drawing>
          <wp:inline distT="0" distB="0" distL="0" distR="0" wp14:anchorId="3028F4A3" wp14:editId="007B4ABD">
            <wp:extent cx="5943292" cy="6957392"/>
            <wp:effectExtent l="0" t="0" r="635" b="0"/>
            <wp:docPr id="474108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24414" t="25224" r="25429" b="7628"/>
                    <a:stretch>
                      <a:fillRect/>
                    </a:stretch>
                  </pic:blipFill>
                  <pic:spPr bwMode="auto">
                    <a:xfrm>
                      <a:off x="0" y="0"/>
                      <a:ext cx="5961778" cy="6979032"/>
                    </a:xfrm>
                    <a:prstGeom prst="rect">
                      <a:avLst/>
                    </a:prstGeom>
                    <a:noFill/>
                    <a:ln>
                      <a:noFill/>
                    </a:ln>
                  </pic:spPr>
                </pic:pic>
              </a:graphicData>
            </a:graphic>
          </wp:inline>
        </w:drawing>
      </w:r>
    </w:p>
    <w:p w14:paraId="0082641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Al cuarto trimestre de 2023, la Inversión Extranjera Directa Acumulada del año 2006 al mes de diciembre de 2023 en el Estado de Tlaxcala fue de 3,213.6 millones de dólares, lo que representó un aporte del 0.1% al total nacional, instalándose empresas de diversas nacionalidades, tal y como se observa en el cuadro comparativo siguiente:</w:t>
      </w:r>
    </w:p>
    <w:p w14:paraId="2547AB17" w14:textId="3ADA2532"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lastRenderedPageBreak/>
        <w:drawing>
          <wp:inline distT="0" distB="0" distL="0" distR="0" wp14:anchorId="2E3DDE05" wp14:editId="5EE78DB9">
            <wp:extent cx="6055775" cy="4675367"/>
            <wp:effectExtent l="0" t="0" r="2540" b="0"/>
            <wp:docPr id="1283855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308" cy="4694308"/>
                    </a:xfrm>
                    <a:prstGeom prst="rect">
                      <a:avLst/>
                    </a:prstGeom>
                    <a:noFill/>
                    <a:ln>
                      <a:noFill/>
                    </a:ln>
                  </pic:spPr>
                </pic:pic>
              </a:graphicData>
            </a:graphic>
          </wp:inline>
        </w:drawing>
      </w:r>
    </w:p>
    <w:p w14:paraId="497B632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04789B0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1A338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w:t>
      </w:r>
      <w:r>
        <w:rPr>
          <w:rFonts w:ascii="Arial" w:hAnsi="Arial" w:cs="Arial"/>
          <w:sz w:val="18"/>
          <w:szCs w:val="18"/>
        </w:rPr>
        <w:lastRenderedPageBreak/>
        <w:t>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w:t>
      </w:r>
      <w:r>
        <w:rPr>
          <w:rFonts w:ascii="Arial" w:hAnsi="Arial" w:cs="Arial"/>
          <w:sz w:val="18"/>
          <w:szCs w:val="18"/>
        </w:rPr>
        <w:lastRenderedPageBreak/>
        <w:t xml:space="preserve">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710020B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01B532B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3484CCB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41C1330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Nuevas reglas de disciplina financiera que contemplan mecanismos de equilibrio presupuestario y de distribución de ingresos excedentes;</w:t>
      </w:r>
    </w:p>
    <w:p w14:paraId="2E78D84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6D0EE7C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AF9E1D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06FCC24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43BC011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Pr>
          <w:rFonts w:ascii="Arial" w:hAnsi="Arial" w:cs="Arial"/>
          <w:sz w:val="18"/>
          <w:szCs w:val="18"/>
        </w:rPr>
        <w:t>Pidiregas</w:t>
      </w:r>
      <w:proofErr w:type="spellEnd"/>
      <w:r>
        <w:rPr>
          <w:rFonts w:ascii="Arial" w:hAnsi="Arial" w:cs="Arial"/>
          <w:sz w:val="18"/>
          <w:szCs w:val="18"/>
        </w:rPr>
        <w:t>, las obligaciones derivadas del entonces Fideicomiso de Apoyo para el Rescate de Autopistas Concesionadas (FARAC), hoy Fondo Nacional de Infraestructura (</w:t>
      </w:r>
      <w:proofErr w:type="spellStart"/>
      <w:r>
        <w:rPr>
          <w:rFonts w:ascii="Arial" w:hAnsi="Arial" w:cs="Arial"/>
          <w:sz w:val="18"/>
          <w:szCs w:val="18"/>
        </w:rPr>
        <w:t>Fonadin</w:t>
      </w:r>
      <w:proofErr w:type="spellEnd"/>
      <w:r>
        <w:rPr>
          <w:rFonts w:ascii="Arial" w:hAnsi="Arial" w:cs="Arial"/>
          <w:sz w:val="18"/>
          <w:szCs w:val="18"/>
        </w:rPr>
        <w:t>); y el patrimonio de las Instituciones de Fomento.</w:t>
      </w:r>
    </w:p>
    <w:p w14:paraId="286ABC7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 2023, la deuda pública mantuvo una estructura sólida y se financió principalmente en el mercado interno, con instrumentos a largo plazo y a tasa fija. Además, se continuó con la implementación de una gestión de riesgos mediante la diversificación del portafolio de deuda y el fortalecimiento del programa de coberturas, lo que permitió cubrir las necesidades de financiamiento del Gobierno Federal al menor costo y riesgo posibles. </w:t>
      </w:r>
    </w:p>
    <w:p w14:paraId="5CD7BCC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Durante el trimestre se realizaron operaciones de manejo de pasivos para mantener un perfil de vencimientos favorable y reducir presiones de liquidez. El 5 de octubre, se realizó una operación de refinanciamiento mediante el intercambio de valores gubernamentales por un monto de 103 mil millones de pesos.</w:t>
      </w:r>
    </w:p>
    <w:p w14:paraId="66DA8EC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23 de octubre, se realizó una operación de refinanciamiento por un monto de 34 mil 636 millones de pesos y una colocación por 36 mil 608 millones de pesos. Para fortalecer el desarrollo del mercado local de Bonos Sostenibles, el 25 de octubre se realizó una emisión de Bondes G, por un monto de 15 mil millones de pesos, la cual fue referencia de bajo riesgo para emisiones corporativas. El financiamiento externo continuó como fuente complementaria de crédito; sin embargo, en el cuarto trimestre del 2023, no se accedió a los mercados internacionales. </w:t>
      </w:r>
    </w:p>
    <w:p w14:paraId="514F90D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No obstante, para consolidar la curva de rendimiento sostenible y ampliar la participación de inversionistas, se realizaron dos operaciones a lo largo del año por un monto total de 6 mil 941 millones de dólares, las cuales permitieron cubrir necesidades de liquidez, así como aprovechar condiciones de financiamiento externo favorables y optimizar el portafolio de bonos en moneda extranjera. </w:t>
      </w:r>
    </w:p>
    <w:p w14:paraId="4C71E97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Cabe resaltar que todas las colocaciones de deuda se apegaron al Programa Anual de Financiamiento 2023, y fueron congruentes con lo estipulado por la Ley Federal de Deuda Pública y se mantuvieron en línea con los techos de endeudamiento aprobados por el H. Congreso de la Unión para el ejercicio fiscal 2023.</w:t>
      </w:r>
    </w:p>
    <w:p w14:paraId="4915D1B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cuarto trimestre de 2023, la deuda neta del Gobierno Federal se ubicó en 12 billones 710 mil 635.1 millones de pesos. La estructura del portafolio de la deuda mantuvo la mayor parte de sus pasivos denominados en moneda nacional, representando, al 31 de diciembre de 2023, el 84.2% del saldo de la deuda neta del Gobierno Federal.</w:t>
      </w:r>
    </w:p>
    <w:p w14:paraId="41441F4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del cuarto trimestre de 2023, el saldo de la deuda interna neta del Gobierno Federal ascendió a 10 billones 699 mil 546.7 millones de pesos. La variación del saldo de la deuda interna respecto del cierre de 2022 fue el resultado de: </w:t>
      </w:r>
    </w:p>
    <w:p w14:paraId="756A595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i) Un endeudamiento interno neto por 1 billón 170 mil 435.7 millones de pesos; </w:t>
      </w:r>
    </w:p>
    <w:p w14:paraId="67A2B13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ii) Un decremento en las disponibilidades del Gobierno Federal por 146 mil 675.4 millones de pesos; y, </w:t>
      </w:r>
    </w:p>
    <w:p w14:paraId="7E6FA5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iii) Ajustes contables positivos por 120 mil 661.5 millones de pesos, derivados del efecto inflacionario de la deuda interna indizada y del ajuste por las operaciones de permuta de deuda. Este desempeño fue congruente con el techo de endeudamiento interno neto aprobado por el H. Congreso de la Unión para 2023.</w:t>
      </w:r>
    </w:p>
    <w:p w14:paraId="2F4EFFC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 xml:space="preserve">Entre los cierres de 2022 y 2023, los Cetes incrementaron su participación en el saldo total de los valores gubernamentales al pasar de 9.1% a 11.5%, al igual que los Bondes F que pasaron de 13.9% a 14.9%; los </w:t>
      </w:r>
      <w:proofErr w:type="spellStart"/>
      <w:r>
        <w:rPr>
          <w:rFonts w:ascii="Arial" w:hAnsi="Arial" w:cs="Arial"/>
          <w:sz w:val="18"/>
          <w:szCs w:val="18"/>
        </w:rPr>
        <w:t>Udibonos</w:t>
      </w:r>
      <w:proofErr w:type="spellEnd"/>
      <w:r>
        <w:rPr>
          <w:rFonts w:ascii="Arial" w:hAnsi="Arial" w:cs="Arial"/>
          <w:sz w:val="18"/>
          <w:szCs w:val="18"/>
        </w:rPr>
        <w:t xml:space="preserve"> que pasaron de 29.5% a 29.8%; y, los Bondes G al pasar de 0.5% a 0.7%. Por su parte, la participación de los Bonos Tasa Fija Bono MS se situó en 0.2%. </w:t>
      </w:r>
    </w:p>
    <w:p w14:paraId="34EBB09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Mientras tanto, los Bonos Tasa Fija Bono M disminuyeron su participación al pasar de 41.6% a 40.6%, al igual que los Bondes D que pasaron de 5.4% a 2.3%. Con respecto al perfil de amortizaciones de la deuda interna del Gobierno Federal, de acuerdo con su saldo contractual registrado al 31 de diciembre de 2023, se espera que, durante 2024, las amortizaciones alcancen un monto de 2 billones 95 mil 479.2 millones de pesos. </w:t>
      </w:r>
    </w:p>
    <w:p w14:paraId="3264BD7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Del total de amortizaciones, 1 billón 157 mil 603.7 millones de pesos sin incluir Cetes, se encuentran asociadas a los vencimientos de valores gubernamentales, cuyo refinanciamiento se realizará a través del programa de subastas que lleva a cabo el Gobierno Federal.</w:t>
      </w:r>
    </w:p>
    <w:p w14:paraId="1016F91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pesar de encontrarse fuera del trimestre reportado, es importante mencionar que el 17 de enero de 2024, la SHCP realizó el primer intercambio de deuda del año por 110 mil millones de pesos como parte de la política de refinanciamiento del Gobierno Federal del mercado local. La operación consistió en la recompra de instrumentos de Cetes y Bondes F con vencimiento en 2024 y la realización de una venta a mayor plazo de estos instrumentos.</w:t>
      </w:r>
    </w:p>
    <w:p w14:paraId="46B13C6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 2023, el saldo de la deuda externa neta del Gobierno Federal fue de 118 mil 844.6 millones de dólares. La evolución de la deuda externa neta del Gobierno Federal durante el periodo enero a diciembre de 2023 fue resultado de los siguientes factores: </w:t>
      </w:r>
    </w:p>
    <w:p w14:paraId="2326041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Endeudamiento externo neto de 3 mil 318.8 millones de dólares, derivado de disposiciones por 7 mil 677.1 millones de dólares y amortizaciones por 4 mil 358.3 millones de dólares. </w:t>
      </w:r>
    </w:p>
    <w:p w14:paraId="5F2376C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Disminución de los activos internacionales del Gobierno Federal asociados a la deuda externa por 64.7 millones de dólares con respecto al cierre de 2022. Este cambio se debe a la variación en el saldo neto denominado en dólares de la Cuenta General de la Tesorería de la Federación.</w:t>
      </w:r>
    </w:p>
    <w:p w14:paraId="49B9F7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Ajustes contables positivos por 523.1 millones de dólares, derivados de la variación del dólar con respecto a otras monedas en las que se encuentra contratada la deuda.</w:t>
      </w:r>
    </w:p>
    <w:p w14:paraId="55CC68F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Las amortizaciones de la deuda externa del Gobierno Federal durante 2024, con base en su saldo contractual al 31 de diciembre de 2023, serán por 3 mil 265.3 millones de dólares, los cuales se encuentran asociados, principalmente, a los vencimientos de créditos contratados con los Organismos Financieros Internacionales (</w:t>
      </w:r>
      <w:proofErr w:type="spellStart"/>
      <w:r>
        <w:rPr>
          <w:rFonts w:ascii="Arial" w:hAnsi="Arial" w:cs="Arial"/>
          <w:sz w:val="18"/>
          <w:szCs w:val="18"/>
        </w:rPr>
        <w:t>OFIs</w:t>
      </w:r>
      <w:proofErr w:type="spellEnd"/>
      <w:r>
        <w:rPr>
          <w:rFonts w:ascii="Arial" w:hAnsi="Arial" w:cs="Arial"/>
          <w:sz w:val="18"/>
          <w:szCs w:val="18"/>
        </w:rPr>
        <w:t>).</w:t>
      </w:r>
    </w:p>
    <w:p w14:paraId="6C43B52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En el último trimestre de 2023 no se realizaron emisiones de bonos en los mercados financieros internacionales, en línea con el compromiso de utilizar el crédito externo como fuente de financiamiento complementaria, sólo cuando se puedan alcanzar condiciones favorables de financiamiento. En 2023 el Gobierno Federal llevó a cabo dos operaciones en el mercado internacional, por un monto total de 6 mil 941 millones de dólares. con el objetivo de continuar con mejoras en el perfil de vencimientos de la deuda externa de mercado. Además, se intercambiaron bonos sin etiquetar por una nueva referencia ASG y se logró un desendeudamiento del portafolio de deuda externa por 368 millones de dólares.</w:t>
      </w:r>
    </w:p>
    <w:p w14:paraId="583D8EE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pesar de encontrarse fuera del trimestre reportado, para mantener la transparencia en la información, es importante mencionar que el 2 de enero de 2024 la SHCP realizó la primera colocación del año en el mercado externo por 7 mil 500 millones de dólares. La transacción consistió en bonos a 5, 12 y 30 años, con tasas de rendimiento de 5.07%, 6.09% y 6.45%, y cupón de 5.00%, 6.00% y 6.40%, respectivamente. Esta operación mejoró la liquidez y eficiencia de la curva de rendimiento de los bonos en dólares.</w:t>
      </w:r>
    </w:p>
    <w:p w14:paraId="37C0292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El 18 de enero, se realizó la colocación de un bono sostenible, por un monto de 2 mil millones de euros a un plazo de 8 años y con una tasa cupón del 4.49%. A la fecha, esta operación es la emisión sostenible con mayor demanda en el mercado de euros y, con ella, se completó el desarrollo de la curva sostenible a corto, mediano y largo plazo en euros. La emisión se basó en la lista de Gastos Elegibles de 2024, acorde con estándares internacionales y las mejores prácticas. Con esta emisión el Gobierno de México reafirmó su liderazgo y compromiso con las finanzas sostenibles.</w:t>
      </w:r>
    </w:p>
    <w:p w14:paraId="7CC901E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En el cuarto trimestre de 2023, el Gobierno Federal realizó erogaciones por concepto de costo financiero neto total de su deuda por 269 mil 287.1 millones de pesos (Ramo 24). Con ello, el total de pagos durante el periodo de enero a diciembre de 2023 por dicho concepto ascendió a 823 mil 974.3 millones de pesos. Esta cifra comprende erogaciones por 753 mil 194.6 millones de pesos para el pago de intereses y gastos asociados a la deuda interna, la cual incluye un monto de 7 mil 500.3 millones de pesos para el pago anticipado de intereses derivados del intercambio de deuda a través de las operaciones de permuta de deuda, así como erogaciones por un monto de 5 mil 637.5 millones de dólares para cubrir el pago por concepto de intereses, comisiones y gastos asociados principalmente a la deuda externa.</w:t>
      </w:r>
    </w:p>
    <w:p w14:paraId="24143A1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Adicionalmente, en el cuarto trimestre de 2023, el Gobierno Federal no realizó erogaciones para los Programas de Apoyo a Ahorradores y Deudores de la Banca (Ramo 34), por lo que, el total pagado por este concepto en el periodo de enero a diciembre de 2023 fue de 54 mil 216.5 millones de pesos. Estos recursos se destinaron al Programa de Apoyo a Ahorradores a través del IPAB.</w:t>
      </w:r>
    </w:p>
    <w:p w14:paraId="4734214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La estrategia de gestión del portafolio de deuda priorizó la contratación de deuda en el mercado interno, a tasas de interés fijas y de largo plazo. Asimismo, se implementó una gestión de riesgos, mediante la diversificación del portafolio de deuda y la implementación de un programa de coberturas. Lo anterior, mantuvo acotada la sensibilidad del costo financiero de la deuda ante aumentos en la tasa de interés, hecho que fortaleció al portafolio de deuda y mitigó la volatilidad en el servicio de la deuda, tanto en el corto como en el mediano plazo. </w:t>
      </w:r>
    </w:p>
    <w:p w14:paraId="110E2AE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Las tasas implícitas de costo financiero estimadas en el cuarto trimestre de 2023 fueron de 7.09, 7.50 y 5.13% para la deuda total, deuda interna y deuda externa, respectivamente.</w:t>
      </w:r>
    </w:p>
    <w:p w14:paraId="1EAD081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término del cuarto trimestre de 2023, el saldo de la deuda con garantía explícita del Gobierno Federal se ubicó en 319 mil 297.9 millones de pesos, monto superior en 10 mil 999.4 millones de pesos al observado al cierre del año anterior. Dentro de los Programas de Apoyo a Deudores se encontró el Programa de Reestructuración en </w:t>
      </w:r>
      <w:proofErr w:type="spellStart"/>
      <w:r>
        <w:rPr>
          <w:rFonts w:ascii="Arial" w:hAnsi="Arial" w:cs="Arial"/>
          <w:sz w:val="18"/>
          <w:szCs w:val="18"/>
        </w:rPr>
        <w:t>Udis</w:t>
      </w:r>
      <w:proofErr w:type="spellEnd"/>
      <w:r>
        <w:rPr>
          <w:rFonts w:ascii="Arial" w:hAnsi="Arial" w:cs="Arial"/>
          <w:sz w:val="18"/>
          <w:szCs w:val="18"/>
        </w:rPr>
        <w:t xml:space="preserve">, mediante el cual se ofrecieron tasas reales fijas a los acreditados durante toda la vida de sus créditos, lo que requirió que el Gobierno Federal realizara un intercambio entre esta tasa y una tasa nominal de mercado. </w:t>
      </w:r>
    </w:p>
    <w:p w14:paraId="2282139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31 de diciembre de 2023, el resultado preliminar de este intercambio ascendió a 28 mil 486.7 millones de pesos, mismos que no están incorporados en las obligaciones garantizadas reportadas por el Gobierno Federal, ya que su evolución futura es contingente al comportamiento de las tasas de interés.</w:t>
      </w:r>
    </w:p>
    <w:p w14:paraId="0DC3BC7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finalizar el cuarto trimestre de 2023, el saldo de la deuda interna neta del Sector Público se ubicó en 11 billones 250 mil 462 millones de pesos. La variación de este saldo al cierre de 2023, respecto al de 2022, fue el resultado de los siguientes factores: i) un endeudamiento interno neto por 1 billón 308 mil 165.2 millones de pesos; ii) una variación positiva en los activos internos del Sector Público por 11 mil 372.6 millones de pesos y iii) ajustes contables positivos por 127 mil 231.2 millones de pesos, que reflejaron, principalmente, el efecto inflacionario sobre los pasivos indizados a esta variable y operaciones de permuta de deuda.</w:t>
      </w:r>
    </w:p>
    <w:p w14:paraId="3326769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Con base en el saldo contractual de la deuda interna del Sector Público registrado al 31 de diciembre de 2023, las amortizaciones durante el año 2024 serán de 2 billones 357 mil 601.8 millones de pesos. De este monto, el 93.4% se encuentra asociado a los vencimientos de valores colocados en los mercados nacionales.</w:t>
      </w:r>
    </w:p>
    <w:p w14:paraId="0192235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término del cuarto trimestre de 2023, el saldo de la deuda externa neta del Sector Público se ubicó en 213 mil 76.5 millones de dólares. La evolución de la deuda externa neta del Sector Público fue resultado de los siguientes factores: i) un desendeudamiento externo neto de 3 mil 707.2 millones de dólares; ii) los activos internacionales del Sector Público asociados a la deuda externa presentaron una variación positiva de 762.4 millones de dólares, y iii) ajustes contables positivos por 1 mil 28.9 millones de dólares, que reflejaron, principalmente, la variación del dólar con respecto a otras monedas en las que se encuentra contratada la deuda y operaciones por recompra de deuda.</w:t>
      </w:r>
    </w:p>
    <w:p w14:paraId="704E67A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base en el saldo contractual de la deuda externa del Sector Público registrado al 31 de diciembre de 2023, las amortizaciones durante el año 2024 sumarán un monto de 16 mil 542.6 millones de dólares. De esta cifra, 20.9% se encuentra asociado a las amortizaciones proyectadas de los vencimientos de deuda de mercado de capitales; 61.0% a créditos directos y pasivos </w:t>
      </w:r>
      <w:proofErr w:type="spellStart"/>
      <w:r>
        <w:rPr>
          <w:rFonts w:ascii="Arial" w:hAnsi="Arial" w:cs="Arial"/>
          <w:sz w:val="18"/>
          <w:szCs w:val="18"/>
        </w:rPr>
        <w:t>Pidiregas</w:t>
      </w:r>
      <w:proofErr w:type="spellEnd"/>
      <w:r>
        <w:rPr>
          <w:rFonts w:ascii="Arial" w:hAnsi="Arial" w:cs="Arial"/>
          <w:sz w:val="18"/>
          <w:szCs w:val="18"/>
        </w:rPr>
        <w:t xml:space="preserve">; y 18.1%, se refiere a las amortizaciones de líneas vinculadas al comercio exterior y a vencimientos de deuda con </w:t>
      </w:r>
      <w:proofErr w:type="spellStart"/>
      <w:r>
        <w:rPr>
          <w:rFonts w:ascii="Arial" w:hAnsi="Arial" w:cs="Arial"/>
          <w:sz w:val="18"/>
          <w:szCs w:val="18"/>
        </w:rPr>
        <w:t>OFIs</w:t>
      </w:r>
      <w:proofErr w:type="spellEnd"/>
      <w:r>
        <w:rPr>
          <w:rFonts w:ascii="Arial" w:hAnsi="Arial" w:cs="Arial"/>
          <w:sz w:val="18"/>
          <w:szCs w:val="18"/>
        </w:rPr>
        <w:t>.</w:t>
      </w:r>
    </w:p>
    <w:p w14:paraId="68D1B40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De enero a diciembre de 2023, el Sector Público realizó erogaciones por concepto de costo financiero de su deuda pública interna por un monto de 814 mil 908.7 millones de pesos. Por otra parte, durante el mismo periodo se efectuaron erogaciones por un monto de 12 mil 301.2 millones de dólares para cubrir el pago por concepto de intereses, comisiones y gastos asociados a la deuda pública externa. En los Apéndices Estadísticos de Finanzas Públicas y Deuda Pública del presente Informe, en los cuadros I.52 y I.53 se incluye el detalle del costo financiero de la deuda del Sector Público.</w:t>
      </w:r>
    </w:p>
    <w:p w14:paraId="450AAB1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6EF6970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w:t>
      </w:r>
    </w:p>
    <w:p w14:paraId="74BA557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SHRFSP agrupa la deuda neta del Sector Público presupuestario (Gobierno Federal y Entidades de control directo), las obligaciones netas del IPAB, los pasivos del </w:t>
      </w:r>
      <w:proofErr w:type="spellStart"/>
      <w:r>
        <w:rPr>
          <w:rFonts w:ascii="Arial" w:hAnsi="Arial" w:cs="Arial"/>
          <w:sz w:val="18"/>
          <w:szCs w:val="18"/>
        </w:rPr>
        <w:t>Fonadin</w:t>
      </w:r>
      <w:proofErr w:type="spellEnd"/>
      <w:r>
        <w:rPr>
          <w:rFonts w:ascii="Arial" w:hAnsi="Arial" w:cs="Arial"/>
          <w:sz w:val="18"/>
          <w:szCs w:val="18"/>
        </w:rPr>
        <w:t xml:space="preserve">, los asociados a los </w:t>
      </w:r>
      <w:proofErr w:type="spellStart"/>
      <w:r>
        <w:rPr>
          <w:rFonts w:ascii="Arial" w:hAnsi="Arial" w:cs="Arial"/>
          <w:sz w:val="18"/>
          <w:szCs w:val="18"/>
        </w:rPr>
        <w:t>Pidiregas</w:t>
      </w:r>
      <w:proofErr w:type="spellEnd"/>
      <w:r>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 </w:t>
      </w:r>
    </w:p>
    <w:p w14:paraId="33D2CC5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SHRFSP se ubicó en 14 billones 865 mil 528.5 millones de pesos. Respecto al cierre de 2022, incrementó en términos nominales por el efecto del endeudamiento neto, que fue aminorado parcialmente por la apreciación del tipo de cambio. Así, el componente interno del SHRFSP se ubicó en 11 billones 305 mil 926.2 millones de pesos y el componente externo fue de 210 mil 353.5 millones de dólares.</w:t>
      </w:r>
    </w:p>
    <w:p w14:paraId="777CE72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diciembre de 2023 la SHCP publicó el Plan Anual de Financiamiento (PAF) para 2024. Este documento da a conocer los principales elementos de la política de deuda pública del Gobierno Federal, las Empresas Productivas del Estado y otros emisores del Sector Público que acceden a los mercados de deuda. El Gobierno Federal consolidará en 2024 la estrategia de política de deuda que desarrolló durante la administración, a través de cinco pilares: </w:t>
      </w:r>
    </w:p>
    <w:p w14:paraId="71FABBD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1) cubrir las necesidades de financiamiento del Gobierno Federal, con un nivel de riesgo y costo adecuado; </w:t>
      </w:r>
    </w:p>
    <w:p w14:paraId="7B16807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2) mejorar el perfil de vencimiento de deuda y sus características; </w:t>
      </w:r>
    </w:p>
    <w:p w14:paraId="32038A8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3) continuar con el desarrollo del mercado de Bonos Sostenibles; </w:t>
      </w:r>
    </w:p>
    <w:p w14:paraId="58026F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4) realizar un manejo integral de los riesgos; y </w:t>
      </w:r>
    </w:p>
    <w:p w14:paraId="17B4A53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5) mantener la sostenibilidad de la deuda pública. </w:t>
      </w:r>
    </w:p>
    <w:p w14:paraId="02CFE8A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Para 2024, el Gobierno Federal seguirá en busca de ventanas de oportunidad para obtener el financiamiento requerido. El principal mercado será el interno y de forma complementaria los mercados externos, siempre y cuando las condiciones sean favorables. Todo ello, con la intención de reducir la exposición del portafolio ante episodios de volatilidad. Con esta estrategia, se estima que el porcentaje de la deuda bruta externa respecto de la bruta total se reduzca de 22.7% en 2018 a 15.3% para 2024. Respecto a la deuda interna, se espera una participación de 79.6% de los valores a tasa fija y nominal y real de largo plazo, y un plazo promedio de vencimiento de la deuda interna de 7.7 años y de 18.9 años para la deuda externa de mercado. </w:t>
      </w:r>
    </w:p>
    <w:p w14:paraId="47FFC7E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Se espera que con estas acciones se mitigue el incremento en el costo financiero y se estima a un nivel de confianza de 0.95 que este no se incrementará más de 3.7% con relación a su valor esperado. El Gobierno Federal mantendrá la política de refinanciamiento y gestión de pasivos, con la intención de reducir los pagos de deuda para la siguiente administración, y mejorar el perfil de riesgo y costo del portafolio de deuda pública. Asimismo, continuará con el desarrollo del mercado de Bonos Sostenibles, con nuevas emisiones a distintos plazos para incrementar la base de inversionistas y tener acceso a un mayor capital en estos instrumentos.</w:t>
      </w:r>
    </w:p>
    <w:p w14:paraId="78502CF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Además, buscará mantener un portafolio diversificado e implementará una estrategia de gestión de riesgos, a través de instrumentos derivados para afrontar las variaciones en el precio del petróleo, el tipo de cambio y las tasas de interés. Las acciones mencionadas tienen como objetivo mantener la sostenibilidad de la deuda pública para propiciar la estabilidad económica. El Gobierno Federal impulsará una relación estrecha con los emisores recurrentes del Sector Público para coordinar su financiamiento, mientras que estas entidades mantendrán una comunicación activa con los participantes del mercado.</w:t>
      </w:r>
    </w:p>
    <w:p w14:paraId="38F5F7F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Gobierno Federal mantendrá como principal fuente de financiamiento el mercado interno a través del programa de subastas de valores gubernamentales, cuidando las condiciones y desarrollo de los mercados financieros. El objetivo es fomentar el desarrollo de la curva de tasa de interés, tasas reales y promover la liquidez. El endeudamiento interno continuará con la estrategia de fortalecimiento de la Figura de Formadores de Mercado de Bonos y </w:t>
      </w:r>
      <w:proofErr w:type="spellStart"/>
      <w:r>
        <w:rPr>
          <w:rFonts w:ascii="Arial" w:hAnsi="Arial" w:cs="Arial"/>
          <w:sz w:val="18"/>
          <w:szCs w:val="18"/>
        </w:rPr>
        <w:t>Udibonos</w:t>
      </w:r>
      <w:proofErr w:type="spellEnd"/>
      <w:r>
        <w:rPr>
          <w:rFonts w:ascii="Arial" w:hAnsi="Arial" w:cs="Arial"/>
          <w:sz w:val="18"/>
          <w:szCs w:val="18"/>
        </w:rPr>
        <w:t xml:space="preserve">, con el fin de incentivar la liquidez y dar profundidad al mercado local, buscando en todo momento ventanas de oportunidad favorables y adaptándolas a las condiciones y evolución de los mercados. </w:t>
      </w:r>
    </w:p>
    <w:p w14:paraId="25C5EFB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Se considerará realizar subastas sindicadas y reaperturas de emisores vigentes para actualizar las referencias y mejorar los perfiles de vencimiento. Se mantendrá el anuncio de las subastas de cada instrumento en el Calendario Trimestral de Subastas de Valores Gubernamentales. Además, se continuará con el financiamiento sostenible, a través de emisiones tanto a tasa variable (Bondes G) como a tasa fija (Bonos S), con el objetivo de fortalecer las nuevas referencias sostenibles en el mercado local y aumentar la proporción de deuda local sostenible en el portafolio.</w:t>
      </w:r>
    </w:p>
    <w:p w14:paraId="73B0FF3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Para garantizar la solidez de las finanzas públicas del país, se adaptará una postura reservada ante el manejo de pasivos y se considerarán solo oportunidades que beneficien el desendeudamiento neto, sin aumentar la tasa cupón promedio de los bonos del Gobierno Federal. El endeudamiento externo se mantiene como fuente secundaria de financiamiento, con el fin de mantener a la baja la proporción de deuda en moneda extranjera, y así mitigar el impacto de choques externos. La estrategia tiene como objetivo brindar flexibilidad al financiamiento del Gobierno Federal, por ello se dará preferencia a los mercados financieros internacionales cuando las condiciones del mercado sean favorables y aporten mayor liquidez.</w:t>
      </w:r>
    </w:p>
    <w:p w14:paraId="53645F8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que forman parte de la inversión física impulsada por el Sector Público, se agrupan en: </w:t>
      </w:r>
    </w:p>
    <w:p w14:paraId="5167C9F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Ley Federal de Deuda Pública y </w:t>
      </w:r>
    </w:p>
    <w:p w14:paraId="40BC422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Aquellos proyectos propiedad del sector privado y que implican únicamente compromisos comerciales, salvo que se presenten causas de fuerza mayor que impliquen su adquisición por el Sector Público. Con el objeto de ampliar y mejorar la información relativa a los pasivos asociados a los proyectos de inversión financiada, se incluye información del pasivo de los proyectos </w:t>
      </w:r>
      <w:proofErr w:type="spellStart"/>
      <w:r>
        <w:rPr>
          <w:rFonts w:ascii="Arial" w:hAnsi="Arial" w:cs="Arial"/>
          <w:sz w:val="18"/>
          <w:szCs w:val="18"/>
        </w:rPr>
        <w:t>Pidiregas</w:t>
      </w:r>
      <w:proofErr w:type="spellEnd"/>
      <w:r>
        <w:rPr>
          <w:rFonts w:ascii="Arial" w:hAnsi="Arial" w:cs="Arial"/>
          <w:sz w:val="18"/>
          <w:szCs w:val="18"/>
        </w:rPr>
        <w:t xml:space="preserve"> que, de acuerdo con la normatividad aplicable, han sido recibidos a satisfacción por la CFE, reflejándose por lo tanto en sus registros contables. </w:t>
      </w:r>
    </w:p>
    <w:p w14:paraId="3EA68CC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Cabe mencionar que, derivado del reconocimiento de los pasivos </w:t>
      </w:r>
      <w:proofErr w:type="spellStart"/>
      <w:r>
        <w:rPr>
          <w:rFonts w:ascii="Arial" w:hAnsi="Arial" w:cs="Arial"/>
          <w:sz w:val="18"/>
          <w:szCs w:val="18"/>
        </w:rPr>
        <w:t>Pidiregas</w:t>
      </w:r>
      <w:proofErr w:type="spellEnd"/>
      <w:r>
        <w:rPr>
          <w:rFonts w:ascii="Arial" w:hAnsi="Arial" w:cs="Arial"/>
          <w:sz w:val="18"/>
          <w:szCs w:val="18"/>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6B9E967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134E2F9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 fin de instrumentar la estrategia antes planteada, al igual que en los ejercicios fiscales de 2000 a 2022, el Ejecutivo Federal solicitó la asignación, en el PEF para el 2023,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4108735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Asimismo, en el artículo 2o. de la LIF 2023,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5CB9658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31 de diciembre de 2023, la deuda neta del Instituto ascendió a 993 mil 704 millones de pesos, registrando una disminución en términos reales de 1.34% respecto a diciembre de 2022. Esta disminución se explica principalmente por una menor tasa real observada en el periodo y la aplicación del 75.0% de las Cuotas. Por otra parte, el saldo de la deuda neta del Instituto al cierre del cuarto trimestre de 2023 representó el 2.93% del PIB, dato menor en 0.19 </w:t>
      </w:r>
      <w:proofErr w:type="spellStart"/>
      <w:r>
        <w:rPr>
          <w:rFonts w:ascii="Arial" w:hAnsi="Arial" w:cs="Arial"/>
          <w:sz w:val="18"/>
          <w:szCs w:val="18"/>
        </w:rPr>
        <w:t>pp</w:t>
      </w:r>
      <w:proofErr w:type="spellEnd"/>
      <w:r>
        <w:rPr>
          <w:rFonts w:ascii="Arial" w:hAnsi="Arial" w:cs="Arial"/>
          <w:sz w:val="18"/>
          <w:szCs w:val="18"/>
        </w:rPr>
        <w:t xml:space="preserve"> respecto al presentado al cierre del cuarto trimestre de 2022. </w:t>
      </w:r>
    </w:p>
    <w:p w14:paraId="0E5F7EB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términos reales, el decremento de 0.19 </w:t>
      </w:r>
      <w:proofErr w:type="spellStart"/>
      <w:r>
        <w:rPr>
          <w:rFonts w:ascii="Arial" w:hAnsi="Arial" w:cs="Arial"/>
          <w:sz w:val="18"/>
          <w:szCs w:val="18"/>
        </w:rPr>
        <w:t>pp</w:t>
      </w:r>
      <w:proofErr w:type="spellEnd"/>
      <w:r>
        <w:rPr>
          <w:rFonts w:ascii="Arial" w:hAnsi="Arial" w:cs="Arial"/>
          <w:sz w:val="18"/>
          <w:szCs w:val="18"/>
        </w:rPr>
        <w:t xml:space="preserve"> se explica en 0.15 </w:t>
      </w:r>
      <w:proofErr w:type="spellStart"/>
      <w:r>
        <w:rPr>
          <w:rFonts w:ascii="Arial" w:hAnsi="Arial" w:cs="Arial"/>
          <w:sz w:val="18"/>
          <w:szCs w:val="18"/>
        </w:rPr>
        <w:t>pp</w:t>
      </w:r>
      <w:proofErr w:type="spellEnd"/>
      <w:r>
        <w:rPr>
          <w:rFonts w:ascii="Arial" w:hAnsi="Arial" w:cs="Arial"/>
          <w:sz w:val="18"/>
          <w:szCs w:val="18"/>
        </w:rPr>
        <w:t xml:space="preserve"> por el crecimiento estimado de la economía en términos reales de diciembre de 2022 a diciembre de 2023 y en 0.04 </w:t>
      </w:r>
      <w:proofErr w:type="spellStart"/>
      <w:r>
        <w:rPr>
          <w:rFonts w:ascii="Arial" w:hAnsi="Arial" w:cs="Arial"/>
          <w:sz w:val="18"/>
          <w:szCs w:val="18"/>
        </w:rPr>
        <w:t>pp</w:t>
      </w:r>
      <w:proofErr w:type="spellEnd"/>
      <w:r>
        <w:rPr>
          <w:rFonts w:ascii="Arial" w:hAnsi="Arial" w:cs="Arial"/>
          <w:sz w:val="18"/>
          <w:szCs w:val="18"/>
        </w:rPr>
        <w:t xml:space="preserve"> por el decrecimiento de la deuda del Instituto en términos reales.</w:t>
      </w:r>
    </w:p>
    <w:p w14:paraId="44C9EAA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saldo de los activos totales del Instituto ascendió a 184 mil 563 millones de pesos, cifra que presentó un aumento de 31.53% en términos reales, respecto al cierre de diciembre de 2022. Cabe destacar que, el saldo del Fondo de Protección al Ahorro Bancario al cierre de diciembre de 2023 ascendió a 87 mil 120 millones de pesos, lo que significó un incremento nominal de 24.62% y de 19.08% en términos reales respecto del mes de diciembre de 2022.</w:t>
      </w:r>
    </w:p>
    <w:p w14:paraId="3136AD1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Durante el cuarto trimestre de 2023, se recibieron recursos en el Instituto por un total de 76 mil 564 millones de pesos. Dichos recursos se componen de: i) 64 mil 4 millones de pesos correspondientes a operaciones de refinanciamiento a través de la colocación primaria y no competitiva de BPAS; ii) 8 mil 395 millones de pesos por concepto de Cuotas cobradas a las Instituciones de Banca Múltiple (IBM); iii) 4 mil 145 millones de pesos de intereses generados por la inversión de los activos líquidos del Instituto; iv) 19 millones de pesos de una recuperación por Pago de Obligaciones Garantizadas (POG); y, v) 1 millón de pesos de otros ingresos (devoluciones de recursos no empleados al POG, traspaso de intereses por saldo en cuenta, reembolso a la Reserva para Contingencias por Resoluciones Bancarias y ajuste al gasto de administración). </w:t>
      </w:r>
    </w:p>
    <w:p w14:paraId="0C151C9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Por su parte, los pagos realizados durante el mismo periodo ascendieron a 48 mil 467 millones de pesos, de los cuales 18 mil 200 millones de pesos corresponden a la amortización de Bonos; 30 mil 149 millones de pesos al pago de intereses de dichos Bonos; 118 millones de pesos a pagos relacionados con gastos de administración del Instituto y 0.2 millones de pesos al pago de gastos por resoluciones.</w:t>
      </w:r>
    </w:p>
    <w:p w14:paraId="57CF71E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estricto apego a la facultad de refinanciamiento del Instituto establecida en el artículo 2 antes referido y, conforme al programa de subastas dado a conocer al público inversionista el 29 de septiembre de 2023, el Instituto colocó Bonos de Protección al Ahorro (BPAS o Bonos) a través del Banco de México como su agente financiero. Dado lo anterior, el IPAB colocó instrumentos por un monto nominal de 63 mil 926 millones de pesos, de los cuales 63 mil 700 millones de pesos corresponden a subastas primarias y 226 millones de pesos a asignaciones no competitivas a través de la plataforma de </w:t>
      </w:r>
      <w:proofErr w:type="spellStart"/>
      <w:r>
        <w:rPr>
          <w:rFonts w:ascii="Arial" w:hAnsi="Arial" w:cs="Arial"/>
          <w:sz w:val="18"/>
          <w:szCs w:val="18"/>
        </w:rPr>
        <w:t>Cetesdirecto</w:t>
      </w:r>
      <w:proofErr w:type="spellEnd"/>
      <w:r>
        <w:rPr>
          <w:rFonts w:ascii="Arial" w:hAnsi="Arial" w:cs="Arial"/>
          <w:sz w:val="18"/>
          <w:szCs w:val="18"/>
        </w:rPr>
        <w:t xml:space="preserve">. </w:t>
      </w:r>
    </w:p>
    <w:p w14:paraId="7CBB52B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Además, amortizó emisiones primarias con un valor nominal de 18 mil 200 millones de pesos, con lo cual se presentó una colocación neta de 45 mil 726 millones de pesos. Las operaciones de refinanciamiento efectuadas durante el cuarto trimestre de 2023 contribuyeron con el objetivo estratégico del IPAB de hacer frente a sus obligaciones de pago de manera sostenible en el largo plazo.</w:t>
      </w:r>
    </w:p>
    <w:p w14:paraId="01A716B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plazo promedio de los pasivos del Instituto fue de 2.63 años, dato 0.02 años mayor al observado en el cuarto trimestre de 2022 (2.61 años), debido a que el porcentaje de la deuda con plazo mayor a 5 años ha tenido un ligero incremento. Por otra parte, el 15 de diciembre de 2023, el IPAB dio a conocer al público inversionista las subastas primarias programadas a realizar durante el primer trimestre de 2024; para el cual, mantuvo sin cambio el monto objetivo semanal a subastar respecto del cuarto trimestre de 2023,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171699F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Gobierno del Estado de Tlaxcala mantiene el compromiso de no contraer deuda pública que pudiese comprometer las finanzas públicas en el corto y mediano plazo, aunado a las medidas de austeridad republicana </w:t>
      </w:r>
      <w:r>
        <w:rPr>
          <w:rFonts w:ascii="Arial" w:hAnsi="Arial" w:cs="Arial"/>
          <w:sz w:val="18"/>
          <w:szCs w:val="18"/>
        </w:rPr>
        <w:lastRenderedPageBreak/>
        <w:t>implementadas por el Gobierno Federal, traduciéndose en un nivel de endeudamiento al cierre del ejercicio fiscal 2023 de $0.00, y al primer trimestre del ejercicio 2024 se continúa con un saldo de $0.00 de endeudamiento, manteniendo las finanzas del Gobierno del Estado sanas.</w:t>
      </w:r>
    </w:p>
    <w:p w14:paraId="0266AC4E" w14:textId="66609062"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37ECE535"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4776D185" w14:textId="77777777" w:rsidR="00C904BE" w:rsidRDefault="00C904BE" w:rsidP="00420656">
      <w:pPr>
        <w:pStyle w:val="Texto"/>
        <w:spacing w:after="0" w:line="240" w:lineRule="exact"/>
        <w:rPr>
          <w:szCs w:val="18"/>
        </w:rPr>
      </w:pPr>
    </w:p>
    <w:p w14:paraId="18DD9EB6" w14:textId="77777777" w:rsidR="00C904BE" w:rsidRDefault="00C904BE" w:rsidP="00420656">
      <w:pPr>
        <w:pStyle w:val="Texto"/>
        <w:spacing w:after="0" w:line="240" w:lineRule="exact"/>
        <w:rPr>
          <w:szCs w:val="18"/>
        </w:rPr>
      </w:pPr>
    </w:p>
    <w:p w14:paraId="70E0D260" w14:textId="77777777" w:rsidR="00C904BE" w:rsidRDefault="00C904BE" w:rsidP="00420656">
      <w:pPr>
        <w:pStyle w:val="Texto"/>
        <w:spacing w:after="0" w:line="240" w:lineRule="exact"/>
        <w:rPr>
          <w:szCs w:val="18"/>
        </w:rPr>
      </w:pPr>
    </w:p>
    <w:p w14:paraId="4B6C6ACE" w14:textId="77777777" w:rsidR="00C904BE" w:rsidRDefault="00C904BE" w:rsidP="00420656">
      <w:pPr>
        <w:pStyle w:val="Texto"/>
        <w:spacing w:after="0" w:line="240" w:lineRule="exact"/>
        <w:rPr>
          <w:szCs w:val="18"/>
        </w:rPr>
      </w:pPr>
    </w:p>
    <w:p w14:paraId="52C7AD58" w14:textId="77777777" w:rsidR="00C904BE" w:rsidRDefault="00C904BE" w:rsidP="00420656">
      <w:pPr>
        <w:pStyle w:val="Texto"/>
        <w:spacing w:after="0" w:line="240" w:lineRule="exact"/>
        <w:rPr>
          <w:szCs w:val="18"/>
        </w:rPr>
      </w:pPr>
    </w:p>
    <w:p w14:paraId="4C23C022" w14:textId="77777777" w:rsidR="00C904BE" w:rsidRDefault="00C904BE" w:rsidP="00420656">
      <w:pPr>
        <w:pStyle w:val="Texto"/>
        <w:spacing w:after="0" w:line="240" w:lineRule="exact"/>
        <w:rPr>
          <w:szCs w:val="18"/>
        </w:rPr>
      </w:pPr>
    </w:p>
    <w:p w14:paraId="056869B8" w14:textId="77777777" w:rsidR="00C904BE" w:rsidRDefault="00C904BE" w:rsidP="00420656">
      <w:pPr>
        <w:pStyle w:val="Texto"/>
        <w:spacing w:after="0" w:line="240" w:lineRule="exact"/>
        <w:rPr>
          <w:szCs w:val="18"/>
        </w:rPr>
      </w:pPr>
    </w:p>
    <w:p w14:paraId="214A1BAF" w14:textId="77777777" w:rsidR="00C904BE" w:rsidRDefault="00C904BE" w:rsidP="00420656">
      <w:pPr>
        <w:pStyle w:val="Texto"/>
        <w:spacing w:after="0" w:line="240" w:lineRule="exact"/>
        <w:rPr>
          <w:szCs w:val="18"/>
        </w:rPr>
      </w:pPr>
    </w:p>
    <w:p w14:paraId="3FEBF476" w14:textId="77777777" w:rsidR="00C904BE" w:rsidRDefault="00C904BE" w:rsidP="00420656">
      <w:pPr>
        <w:pStyle w:val="Texto"/>
        <w:spacing w:after="0" w:line="240" w:lineRule="exact"/>
        <w:rPr>
          <w:szCs w:val="18"/>
        </w:rPr>
      </w:pPr>
    </w:p>
    <w:p w14:paraId="6B99BBA6" w14:textId="77777777" w:rsidR="00C904BE" w:rsidRDefault="00C904BE" w:rsidP="00420656">
      <w:pPr>
        <w:pStyle w:val="Texto"/>
        <w:spacing w:after="0" w:line="240" w:lineRule="exact"/>
        <w:rPr>
          <w:szCs w:val="18"/>
        </w:rPr>
      </w:pPr>
    </w:p>
    <w:p w14:paraId="15C60CE9" w14:textId="77777777" w:rsidR="00C904BE" w:rsidRDefault="00C904BE" w:rsidP="00420656">
      <w:pPr>
        <w:pStyle w:val="Texto"/>
        <w:spacing w:after="0" w:line="240" w:lineRule="exact"/>
        <w:rPr>
          <w:szCs w:val="18"/>
        </w:rPr>
      </w:pPr>
    </w:p>
    <w:p w14:paraId="4FABEEC1" w14:textId="77777777" w:rsidR="00C904BE" w:rsidRDefault="00C904BE" w:rsidP="00420656">
      <w:pPr>
        <w:pStyle w:val="Texto"/>
        <w:spacing w:after="0" w:line="240" w:lineRule="exact"/>
        <w:rPr>
          <w:szCs w:val="18"/>
        </w:rPr>
      </w:pPr>
    </w:p>
    <w:p w14:paraId="3A4A3D15" w14:textId="77777777" w:rsidR="00C904BE" w:rsidRDefault="00C904BE" w:rsidP="00420656">
      <w:pPr>
        <w:pStyle w:val="Texto"/>
        <w:spacing w:after="0" w:line="240" w:lineRule="exact"/>
        <w:rPr>
          <w:szCs w:val="18"/>
        </w:rPr>
      </w:pPr>
    </w:p>
    <w:p w14:paraId="64BF84E9" w14:textId="77777777" w:rsidR="00C904BE" w:rsidRDefault="00C904BE" w:rsidP="00420656">
      <w:pPr>
        <w:pStyle w:val="Texto"/>
        <w:spacing w:after="0" w:line="240" w:lineRule="exact"/>
        <w:rPr>
          <w:szCs w:val="18"/>
        </w:rPr>
      </w:pPr>
    </w:p>
    <w:p w14:paraId="130FDD6A" w14:textId="77777777" w:rsidR="00C904BE" w:rsidRDefault="00C904BE" w:rsidP="00420656">
      <w:pPr>
        <w:pStyle w:val="Texto"/>
        <w:spacing w:after="0" w:line="240" w:lineRule="exact"/>
        <w:rPr>
          <w:szCs w:val="18"/>
        </w:rPr>
      </w:pPr>
    </w:p>
    <w:p w14:paraId="41D1EC6B" w14:textId="77777777" w:rsidR="00C904BE" w:rsidRDefault="00C904BE" w:rsidP="00420656">
      <w:pPr>
        <w:pStyle w:val="Texto"/>
        <w:spacing w:after="0" w:line="240" w:lineRule="exact"/>
        <w:rPr>
          <w:szCs w:val="18"/>
        </w:rPr>
      </w:pPr>
    </w:p>
    <w:p w14:paraId="7CD5CB8D" w14:textId="77777777" w:rsidR="00C904BE" w:rsidRDefault="00C904BE" w:rsidP="00420656">
      <w:pPr>
        <w:pStyle w:val="Texto"/>
        <w:spacing w:after="0" w:line="240" w:lineRule="exact"/>
        <w:rPr>
          <w:szCs w:val="18"/>
        </w:rPr>
      </w:pPr>
    </w:p>
    <w:p w14:paraId="563BB1E5" w14:textId="77777777" w:rsidR="00C904BE" w:rsidRDefault="00C904BE" w:rsidP="00420656">
      <w:pPr>
        <w:pStyle w:val="Texto"/>
        <w:spacing w:after="0" w:line="240" w:lineRule="exact"/>
        <w:rPr>
          <w:szCs w:val="18"/>
        </w:rPr>
      </w:pPr>
    </w:p>
    <w:p w14:paraId="516B3916" w14:textId="77777777" w:rsidR="00C904BE" w:rsidRDefault="00C904BE" w:rsidP="00420656">
      <w:pPr>
        <w:pStyle w:val="Texto"/>
        <w:spacing w:after="0" w:line="240" w:lineRule="exact"/>
        <w:rPr>
          <w:szCs w:val="18"/>
        </w:rPr>
      </w:pPr>
    </w:p>
    <w:p w14:paraId="734E493A" w14:textId="77777777" w:rsidR="00C904BE" w:rsidRDefault="00C904BE" w:rsidP="00420656">
      <w:pPr>
        <w:pStyle w:val="Texto"/>
        <w:spacing w:after="0" w:line="240" w:lineRule="exact"/>
        <w:rPr>
          <w:szCs w:val="18"/>
        </w:rPr>
      </w:pPr>
    </w:p>
    <w:p w14:paraId="767E0308" w14:textId="77777777" w:rsidR="00C904BE" w:rsidRDefault="00C904BE" w:rsidP="00420656">
      <w:pPr>
        <w:pStyle w:val="Texto"/>
        <w:spacing w:after="0" w:line="240" w:lineRule="exact"/>
        <w:rPr>
          <w:szCs w:val="18"/>
        </w:rPr>
      </w:pPr>
    </w:p>
    <w:p w14:paraId="582C8EEA" w14:textId="77777777" w:rsidR="00C904BE" w:rsidRDefault="00C904BE" w:rsidP="00420656">
      <w:pPr>
        <w:pStyle w:val="Texto"/>
        <w:spacing w:after="0" w:line="240" w:lineRule="exact"/>
        <w:rPr>
          <w:szCs w:val="18"/>
        </w:rPr>
      </w:pPr>
    </w:p>
    <w:p w14:paraId="2E86C3F0" w14:textId="77777777" w:rsidR="00C904BE" w:rsidRDefault="00C904BE" w:rsidP="00420656">
      <w:pPr>
        <w:pStyle w:val="Texto"/>
        <w:spacing w:after="0" w:line="240" w:lineRule="exact"/>
        <w:rPr>
          <w:szCs w:val="18"/>
        </w:rPr>
      </w:pPr>
    </w:p>
    <w:p w14:paraId="3D81C71F" w14:textId="77777777" w:rsidR="00C904BE" w:rsidRDefault="00C904BE" w:rsidP="00420656">
      <w:pPr>
        <w:pStyle w:val="Texto"/>
        <w:spacing w:after="0" w:line="240" w:lineRule="exact"/>
        <w:rPr>
          <w:szCs w:val="18"/>
        </w:rPr>
      </w:pPr>
    </w:p>
    <w:p w14:paraId="1B97E153" w14:textId="77777777" w:rsidR="00C904BE" w:rsidRDefault="00C904BE" w:rsidP="00420656">
      <w:pPr>
        <w:pStyle w:val="Texto"/>
        <w:spacing w:after="0" w:line="240" w:lineRule="exact"/>
        <w:rPr>
          <w:szCs w:val="18"/>
        </w:rPr>
      </w:pPr>
    </w:p>
    <w:p w14:paraId="590ECF93" w14:textId="77777777" w:rsidR="00C904BE" w:rsidRDefault="00C904BE" w:rsidP="00420656">
      <w:pPr>
        <w:pStyle w:val="Texto"/>
        <w:spacing w:after="0" w:line="240" w:lineRule="exact"/>
        <w:rPr>
          <w:szCs w:val="18"/>
        </w:rPr>
      </w:pPr>
    </w:p>
    <w:p w14:paraId="6FAFAACC" w14:textId="77777777" w:rsidR="00C904BE" w:rsidRDefault="00C904BE" w:rsidP="00420656">
      <w:pPr>
        <w:pStyle w:val="Texto"/>
        <w:spacing w:after="0" w:line="240" w:lineRule="exact"/>
        <w:rPr>
          <w:szCs w:val="18"/>
        </w:rPr>
      </w:pPr>
    </w:p>
    <w:p w14:paraId="27DC6043" w14:textId="77777777" w:rsidR="00C904BE" w:rsidRDefault="00C904BE" w:rsidP="00420656">
      <w:pPr>
        <w:pStyle w:val="Texto"/>
        <w:spacing w:after="0" w:line="240" w:lineRule="exact"/>
        <w:rPr>
          <w:szCs w:val="18"/>
        </w:rPr>
      </w:pPr>
    </w:p>
    <w:p w14:paraId="735B35F6" w14:textId="77777777" w:rsidR="00C904BE" w:rsidRDefault="00C904BE" w:rsidP="00420656">
      <w:pPr>
        <w:pStyle w:val="Texto"/>
        <w:spacing w:after="0" w:line="240" w:lineRule="exact"/>
        <w:rPr>
          <w:szCs w:val="18"/>
        </w:rPr>
      </w:pPr>
    </w:p>
    <w:p w14:paraId="57E26C2A" w14:textId="77777777" w:rsidR="00C904BE" w:rsidRPr="00661A17" w:rsidRDefault="00C904BE"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2EC427A5"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5D1457">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5D1457">
        <w:rPr>
          <w:rFonts w:ascii="Arial" w:hAnsi="Arial" w:cs="Arial"/>
          <w:sz w:val="18"/>
          <w:szCs w:val="18"/>
        </w:rPr>
        <w:t>6</w:t>
      </w:r>
      <w:r>
        <w:rPr>
          <w:rFonts w:ascii="Arial" w:hAnsi="Arial" w:cs="Arial"/>
          <w:sz w:val="18"/>
          <w:szCs w:val="18"/>
        </w:rPr>
        <w:t>,</w:t>
      </w:r>
      <w:r w:rsidR="005D1457">
        <w:rPr>
          <w:rFonts w:ascii="Arial" w:hAnsi="Arial" w:cs="Arial"/>
          <w:sz w:val="18"/>
          <w:szCs w:val="18"/>
        </w:rPr>
        <w:t>203</w:t>
      </w:r>
      <w:r>
        <w:rPr>
          <w:rFonts w:ascii="Arial" w:hAnsi="Arial" w:cs="Arial"/>
          <w:sz w:val="18"/>
          <w:szCs w:val="18"/>
        </w:rPr>
        <w:t>,</w:t>
      </w:r>
      <w:r w:rsidR="005D1457">
        <w:rPr>
          <w:rFonts w:ascii="Arial" w:hAnsi="Arial" w:cs="Arial"/>
          <w:sz w:val="18"/>
          <w:szCs w:val="18"/>
        </w:rPr>
        <w:t>5</w:t>
      </w:r>
      <w:r w:rsidR="00451C8F">
        <w:rPr>
          <w:rFonts w:ascii="Arial" w:hAnsi="Arial" w:cs="Arial"/>
          <w:sz w:val="18"/>
          <w:szCs w:val="18"/>
        </w:rPr>
        <w:t>6</w:t>
      </w:r>
      <w:r w:rsidR="005D1457">
        <w:rPr>
          <w:rFonts w:ascii="Arial" w:hAnsi="Arial" w:cs="Arial"/>
          <w:sz w:val="18"/>
          <w:szCs w:val="18"/>
        </w:rPr>
        <w:t>3</w:t>
      </w:r>
      <w:r>
        <w:rPr>
          <w:rFonts w:ascii="Arial" w:hAnsi="Arial" w:cs="Arial"/>
          <w:sz w:val="18"/>
          <w:szCs w:val="18"/>
        </w:rPr>
        <w:t>,</w:t>
      </w:r>
      <w:r w:rsidR="005D1457">
        <w:rPr>
          <w:rFonts w:ascii="Arial" w:hAnsi="Arial" w:cs="Arial"/>
          <w:sz w:val="18"/>
          <w:szCs w:val="18"/>
        </w:rPr>
        <w:t>251</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5D1457">
        <w:rPr>
          <w:rFonts w:ascii="Arial" w:hAnsi="Arial" w:cs="Arial"/>
          <w:sz w:val="18"/>
          <w:szCs w:val="18"/>
        </w:rPr>
        <w:t>4</w:t>
      </w:r>
      <w:r>
        <w:rPr>
          <w:rFonts w:ascii="Arial" w:hAnsi="Arial" w:cs="Arial"/>
          <w:sz w:val="18"/>
          <w:szCs w:val="18"/>
        </w:rPr>
        <w:t>,</w:t>
      </w:r>
      <w:r w:rsidR="005D1457">
        <w:rPr>
          <w:rFonts w:ascii="Arial" w:hAnsi="Arial" w:cs="Arial"/>
          <w:sz w:val="18"/>
          <w:szCs w:val="18"/>
        </w:rPr>
        <w:t>605</w:t>
      </w:r>
      <w:r>
        <w:rPr>
          <w:rFonts w:ascii="Arial" w:hAnsi="Arial" w:cs="Arial"/>
          <w:sz w:val="18"/>
          <w:szCs w:val="18"/>
        </w:rPr>
        <w:t>,</w:t>
      </w:r>
      <w:r w:rsidR="005D1457">
        <w:rPr>
          <w:rFonts w:ascii="Arial" w:hAnsi="Arial" w:cs="Arial"/>
          <w:sz w:val="18"/>
          <w:szCs w:val="18"/>
        </w:rPr>
        <w:t>38</w:t>
      </w:r>
      <w:r w:rsidR="00451C8F">
        <w:rPr>
          <w:rFonts w:ascii="Arial" w:hAnsi="Arial" w:cs="Arial"/>
          <w:sz w:val="18"/>
          <w:szCs w:val="18"/>
        </w:rPr>
        <w:t>2</w:t>
      </w:r>
      <w:r>
        <w:rPr>
          <w:rFonts w:ascii="Arial" w:hAnsi="Arial" w:cs="Arial"/>
          <w:sz w:val="18"/>
          <w:szCs w:val="18"/>
        </w:rPr>
        <w:t>,</w:t>
      </w:r>
      <w:r w:rsidR="005D1457">
        <w:rPr>
          <w:rFonts w:ascii="Arial" w:hAnsi="Arial" w:cs="Arial"/>
          <w:sz w:val="18"/>
          <w:szCs w:val="18"/>
        </w:rPr>
        <w:t>395</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5D1457">
        <w:rPr>
          <w:rFonts w:ascii="Arial" w:hAnsi="Arial" w:cs="Arial"/>
          <w:sz w:val="18"/>
          <w:szCs w:val="18"/>
        </w:rPr>
        <w:t>1</w:t>
      </w:r>
      <w:r w:rsidR="007F6AFD">
        <w:rPr>
          <w:rFonts w:ascii="Arial" w:hAnsi="Arial" w:cs="Arial"/>
          <w:sz w:val="18"/>
          <w:szCs w:val="18"/>
        </w:rPr>
        <w:t>,</w:t>
      </w:r>
      <w:r w:rsidR="00451C8F">
        <w:rPr>
          <w:rFonts w:ascii="Arial" w:hAnsi="Arial" w:cs="Arial"/>
          <w:sz w:val="18"/>
          <w:szCs w:val="18"/>
        </w:rPr>
        <w:t>5</w:t>
      </w:r>
      <w:r w:rsidR="005D1457">
        <w:rPr>
          <w:rFonts w:ascii="Arial" w:hAnsi="Arial" w:cs="Arial"/>
          <w:sz w:val="18"/>
          <w:szCs w:val="18"/>
        </w:rPr>
        <w:t>98</w:t>
      </w:r>
      <w:r>
        <w:rPr>
          <w:rFonts w:ascii="Arial" w:hAnsi="Arial" w:cs="Arial"/>
          <w:sz w:val="18"/>
          <w:szCs w:val="18"/>
        </w:rPr>
        <w:t>,</w:t>
      </w:r>
      <w:r w:rsidR="005D1457">
        <w:rPr>
          <w:rFonts w:ascii="Arial" w:hAnsi="Arial" w:cs="Arial"/>
          <w:sz w:val="18"/>
          <w:szCs w:val="18"/>
        </w:rPr>
        <w:t>180</w:t>
      </w:r>
      <w:r>
        <w:rPr>
          <w:rFonts w:ascii="Arial" w:hAnsi="Arial" w:cs="Arial"/>
          <w:sz w:val="18"/>
          <w:szCs w:val="18"/>
        </w:rPr>
        <w:t>,</w:t>
      </w:r>
      <w:r w:rsidR="005D1457">
        <w:rPr>
          <w:rFonts w:ascii="Arial" w:hAnsi="Arial" w:cs="Arial"/>
          <w:sz w:val="18"/>
          <w:szCs w:val="18"/>
        </w:rPr>
        <w:t>856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menor</w:t>
      </w:r>
      <w:r w:rsidR="00A634CF">
        <w:rPr>
          <w:rFonts w:ascii="Arial" w:hAnsi="Arial" w:cs="Arial"/>
          <w:sz w:val="18"/>
          <w:szCs w:val="18"/>
        </w:rPr>
        <w:t xml:space="preserve"> en un </w:t>
      </w:r>
      <w:r w:rsidR="005D1457">
        <w:rPr>
          <w:rFonts w:ascii="Arial" w:hAnsi="Arial" w:cs="Arial"/>
          <w:sz w:val="18"/>
          <w:szCs w:val="18"/>
        </w:rPr>
        <w:t>37</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22C8F495"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5D1457">
        <w:rPr>
          <w:rFonts w:ascii="Arial" w:hAnsi="Arial" w:cs="Arial"/>
          <w:sz w:val="18"/>
          <w:szCs w:val="18"/>
        </w:rPr>
        <w:t>marzo</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5D1457">
        <w:rPr>
          <w:rFonts w:ascii="Arial" w:hAnsi="Arial" w:cs="Arial"/>
          <w:sz w:val="18"/>
          <w:szCs w:val="18"/>
        </w:rPr>
        <w:t>276</w:t>
      </w:r>
      <w:r>
        <w:rPr>
          <w:rFonts w:ascii="Arial" w:hAnsi="Arial" w:cs="Arial"/>
          <w:sz w:val="18"/>
          <w:szCs w:val="18"/>
        </w:rPr>
        <w:t>,</w:t>
      </w:r>
      <w:r w:rsidR="005D1457">
        <w:rPr>
          <w:rFonts w:ascii="Arial" w:hAnsi="Arial" w:cs="Arial"/>
          <w:sz w:val="18"/>
          <w:szCs w:val="18"/>
        </w:rPr>
        <w:t>078</w:t>
      </w:r>
      <w:r>
        <w:rPr>
          <w:rFonts w:ascii="Arial" w:hAnsi="Arial" w:cs="Arial"/>
          <w:sz w:val="18"/>
          <w:szCs w:val="18"/>
        </w:rPr>
        <w:t>,</w:t>
      </w:r>
      <w:r w:rsidR="005D1457">
        <w:rPr>
          <w:rFonts w:ascii="Arial" w:hAnsi="Arial" w:cs="Arial"/>
          <w:sz w:val="18"/>
          <w:szCs w:val="18"/>
        </w:rPr>
        <w:t>837</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5D1457">
        <w:rPr>
          <w:rFonts w:ascii="Arial" w:hAnsi="Arial" w:cs="Arial"/>
          <w:sz w:val="18"/>
          <w:szCs w:val="18"/>
        </w:rPr>
        <w:t>256</w:t>
      </w:r>
      <w:r w:rsidR="00E004F0">
        <w:rPr>
          <w:rFonts w:ascii="Arial" w:hAnsi="Arial" w:cs="Arial"/>
          <w:sz w:val="18"/>
          <w:szCs w:val="18"/>
        </w:rPr>
        <w:t>,</w:t>
      </w:r>
      <w:r w:rsidR="005D1457">
        <w:rPr>
          <w:rFonts w:ascii="Arial" w:hAnsi="Arial" w:cs="Arial"/>
          <w:sz w:val="18"/>
          <w:szCs w:val="18"/>
        </w:rPr>
        <w:t>018</w:t>
      </w:r>
      <w:r w:rsidR="00AB0983">
        <w:rPr>
          <w:rFonts w:ascii="Arial" w:hAnsi="Arial" w:cs="Arial"/>
          <w:sz w:val="18"/>
          <w:szCs w:val="18"/>
        </w:rPr>
        <w:t>,</w:t>
      </w:r>
      <w:r w:rsidR="005D1457">
        <w:rPr>
          <w:rFonts w:ascii="Arial" w:hAnsi="Arial" w:cs="Arial"/>
          <w:sz w:val="18"/>
          <w:szCs w:val="18"/>
        </w:rPr>
        <w:t>746</w:t>
      </w:r>
      <w:r>
        <w:rPr>
          <w:rFonts w:ascii="Arial" w:hAnsi="Arial" w:cs="Arial"/>
          <w:sz w:val="18"/>
          <w:szCs w:val="18"/>
        </w:rPr>
        <w:t>; sobre la Producción, el Consumo y las transacciones por un importe de $</w:t>
      </w:r>
      <w:r w:rsidR="005D1457">
        <w:rPr>
          <w:rFonts w:ascii="Arial" w:hAnsi="Arial" w:cs="Arial"/>
          <w:sz w:val="18"/>
          <w:szCs w:val="18"/>
        </w:rPr>
        <w:t>12</w:t>
      </w:r>
      <w:r>
        <w:rPr>
          <w:rFonts w:ascii="Arial" w:hAnsi="Arial" w:cs="Arial"/>
          <w:sz w:val="18"/>
          <w:szCs w:val="18"/>
        </w:rPr>
        <w:t>,</w:t>
      </w:r>
      <w:r w:rsidR="005D1457">
        <w:rPr>
          <w:rFonts w:ascii="Arial" w:hAnsi="Arial" w:cs="Arial"/>
          <w:sz w:val="18"/>
          <w:szCs w:val="18"/>
        </w:rPr>
        <w:t>923</w:t>
      </w:r>
      <w:r>
        <w:rPr>
          <w:rFonts w:ascii="Arial" w:hAnsi="Arial" w:cs="Arial"/>
          <w:sz w:val="18"/>
          <w:szCs w:val="18"/>
        </w:rPr>
        <w:t>,</w:t>
      </w:r>
      <w:r w:rsidR="005D1457">
        <w:rPr>
          <w:rFonts w:ascii="Arial" w:hAnsi="Arial" w:cs="Arial"/>
          <w:sz w:val="18"/>
          <w:szCs w:val="18"/>
        </w:rPr>
        <w:t>096</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5D1457">
        <w:rPr>
          <w:rFonts w:ascii="Arial" w:hAnsi="Arial" w:cs="Arial"/>
          <w:sz w:val="18"/>
          <w:szCs w:val="18"/>
        </w:rPr>
        <w:t>3</w:t>
      </w:r>
      <w:r>
        <w:rPr>
          <w:rFonts w:ascii="Arial" w:hAnsi="Arial" w:cs="Arial"/>
          <w:sz w:val="18"/>
          <w:szCs w:val="18"/>
        </w:rPr>
        <w:t>,</w:t>
      </w:r>
      <w:r w:rsidR="005D1457">
        <w:rPr>
          <w:rFonts w:ascii="Arial" w:hAnsi="Arial" w:cs="Arial"/>
          <w:sz w:val="18"/>
          <w:szCs w:val="18"/>
        </w:rPr>
        <w:t>465</w:t>
      </w:r>
      <w:r>
        <w:rPr>
          <w:rFonts w:ascii="Arial" w:hAnsi="Arial" w:cs="Arial"/>
          <w:sz w:val="18"/>
          <w:szCs w:val="18"/>
        </w:rPr>
        <w:t>,</w:t>
      </w:r>
      <w:r w:rsidR="005D1457">
        <w:rPr>
          <w:rFonts w:ascii="Arial" w:hAnsi="Arial" w:cs="Arial"/>
          <w:sz w:val="18"/>
          <w:szCs w:val="18"/>
        </w:rPr>
        <w:t>514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negativo </w:t>
      </w:r>
      <w:r w:rsidR="00304672">
        <w:rPr>
          <w:rFonts w:ascii="Arial" w:hAnsi="Arial" w:cs="Arial"/>
          <w:sz w:val="18"/>
          <w:szCs w:val="18"/>
        </w:rPr>
        <w:t xml:space="preserve">en impuestos del </w:t>
      </w:r>
      <w:r w:rsidR="00191FC5">
        <w:rPr>
          <w:rFonts w:ascii="Arial" w:hAnsi="Arial" w:cs="Arial"/>
          <w:sz w:val="18"/>
          <w:szCs w:val="18"/>
        </w:rPr>
        <w:t>6</w:t>
      </w:r>
      <w:r w:rsidR="005D1457">
        <w:rPr>
          <w:rFonts w:ascii="Arial" w:hAnsi="Arial" w:cs="Arial"/>
          <w:sz w:val="18"/>
          <w:szCs w:val="18"/>
        </w:rPr>
        <w:t>8</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1C027BB8"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5D1457">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5D1457">
        <w:rPr>
          <w:rFonts w:ascii="Arial" w:hAnsi="Arial" w:cs="Arial"/>
          <w:sz w:val="18"/>
          <w:szCs w:val="18"/>
        </w:rPr>
        <w:t>209</w:t>
      </w:r>
      <w:r>
        <w:rPr>
          <w:rFonts w:ascii="Arial" w:hAnsi="Arial" w:cs="Arial"/>
          <w:sz w:val="18"/>
          <w:szCs w:val="18"/>
        </w:rPr>
        <w:t>,</w:t>
      </w:r>
      <w:r w:rsidR="005D1457">
        <w:rPr>
          <w:rFonts w:ascii="Arial" w:hAnsi="Arial" w:cs="Arial"/>
          <w:sz w:val="18"/>
          <w:szCs w:val="18"/>
        </w:rPr>
        <w:t>534</w:t>
      </w:r>
      <w:r>
        <w:rPr>
          <w:rFonts w:ascii="Arial" w:hAnsi="Arial" w:cs="Arial"/>
          <w:sz w:val="18"/>
          <w:szCs w:val="18"/>
        </w:rPr>
        <w:t>,</w:t>
      </w:r>
      <w:r w:rsidR="005D1457">
        <w:rPr>
          <w:rFonts w:ascii="Arial" w:hAnsi="Arial" w:cs="Arial"/>
          <w:sz w:val="18"/>
          <w:szCs w:val="18"/>
        </w:rPr>
        <w:t>606</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5D1457">
        <w:rPr>
          <w:rFonts w:ascii="Arial" w:hAnsi="Arial" w:cs="Arial"/>
          <w:sz w:val="18"/>
          <w:szCs w:val="18"/>
        </w:rPr>
        <w:t>71</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4A0938D2"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5D1457">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5D1457">
        <w:rPr>
          <w:rFonts w:ascii="Arial" w:hAnsi="Arial" w:cs="Arial"/>
          <w:sz w:val="18"/>
          <w:szCs w:val="18"/>
        </w:rPr>
        <w:t>89</w:t>
      </w:r>
      <w:r w:rsidRPr="00502DDD">
        <w:rPr>
          <w:rFonts w:ascii="Arial" w:hAnsi="Arial" w:cs="Arial"/>
          <w:sz w:val="18"/>
          <w:szCs w:val="18"/>
        </w:rPr>
        <w:t>,</w:t>
      </w:r>
      <w:r w:rsidR="00C03317">
        <w:rPr>
          <w:rFonts w:ascii="Arial" w:hAnsi="Arial" w:cs="Arial"/>
          <w:sz w:val="18"/>
          <w:szCs w:val="18"/>
        </w:rPr>
        <w:t>6</w:t>
      </w:r>
      <w:r w:rsidR="005D1457">
        <w:rPr>
          <w:rFonts w:ascii="Arial" w:hAnsi="Arial" w:cs="Arial"/>
          <w:sz w:val="18"/>
          <w:szCs w:val="18"/>
        </w:rPr>
        <w:t>38</w:t>
      </w:r>
      <w:r w:rsidRPr="00502DDD">
        <w:rPr>
          <w:rFonts w:ascii="Arial" w:hAnsi="Arial" w:cs="Arial"/>
          <w:sz w:val="18"/>
          <w:szCs w:val="18"/>
        </w:rPr>
        <w:t>,</w:t>
      </w:r>
      <w:r w:rsidR="005D1457">
        <w:rPr>
          <w:rFonts w:ascii="Arial" w:hAnsi="Arial" w:cs="Arial"/>
          <w:sz w:val="18"/>
          <w:szCs w:val="18"/>
        </w:rPr>
        <w:t>123</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5D1457">
        <w:rPr>
          <w:rFonts w:ascii="Arial" w:hAnsi="Arial" w:cs="Arial"/>
          <w:sz w:val="18"/>
          <w:szCs w:val="18"/>
        </w:rPr>
        <w:t>de</w:t>
      </w:r>
      <w:r w:rsidR="00304672">
        <w:rPr>
          <w:rFonts w:ascii="Arial" w:hAnsi="Arial" w:cs="Arial"/>
          <w:sz w:val="18"/>
          <w:szCs w:val="18"/>
        </w:rPr>
        <w:t xml:space="preserve">cremento del </w:t>
      </w:r>
      <w:r w:rsidR="005D1457">
        <w:rPr>
          <w:rFonts w:ascii="Arial" w:hAnsi="Arial" w:cs="Arial"/>
          <w:sz w:val="18"/>
          <w:szCs w:val="18"/>
        </w:rPr>
        <w:t>7</w:t>
      </w:r>
      <w:r w:rsidR="00C03317">
        <w:rPr>
          <w:rFonts w:ascii="Arial" w:hAnsi="Arial" w:cs="Arial"/>
          <w:sz w:val="18"/>
          <w:szCs w:val="18"/>
        </w:rPr>
        <w:t>3</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6C76E838"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4833F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4833FD">
        <w:rPr>
          <w:rFonts w:ascii="Arial" w:hAnsi="Arial" w:cs="Arial"/>
          <w:sz w:val="18"/>
          <w:szCs w:val="18"/>
        </w:rPr>
        <w:t>856</w:t>
      </w:r>
      <w:r w:rsidR="00363494">
        <w:rPr>
          <w:rFonts w:ascii="Arial" w:hAnsi="Arial" w:cs="Arial"/>
          <w:sz w:val="18"/>
          <w:szCs w:val="18"/>
        </w:rPr>
        <w:t>,</w:t>
      </w:r>
      <w:r w:rsidR="004833FD">
        <w:rPr>
          <w:rFonts w:ascii="Arial" w:hAnsi="Arial" w:cs="Arial"/>
          <w:sz w:val="18"/>
          <w:szCs w:val="18"/>
        </w:rPr>
        <w:t>543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C03317">
        <w:rPr>
          <w:rFonts w:ascii="Arial" w:hAnsi="Arial" w:cs="Arial"/>
          <w:sz w:val="18"/>
          <w:szCs w:val="18"/>
        </w:rPr>
        <w:t>in</w:t>
      </w:r>
      <w:r w:rsidR="00EC5C97">
        <w:rPr>
          <w:rFonts w:ascii="Arial" w:hAnsi="Arial" w:cs="Arial"/>
          <w:sz w:val="18"/>
          <w:szCs w:val="18"/>
        </w:rPr>
        <w:t xml:space="preserve">cremento del </w:t>
      </w:r>
      <w:r w:rsidR="004833FD">
        <w:rPr>
          <w:rFonts w:ascii="Arial" w:hAnsi="Arial" w:cs="Arial"/>
          <w:sz w:val="18"/>
          <w:szCs w:val="18"/>
        </w:rPr>
        <w:t>96</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796163F0"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337CFD">
        <w:rPr>
          <w:rFonts w:ascii="Arial" w:hAnsi="Arial" w:cs="Arial"/>
          <w:sz w:val="18"/>
          <w:szCs w:val="18"/>
        </w:rPr>
        <w:t>50</w:t>
      </w:r>
      <w:r w:rsidRPr="004D6FA0">
        <w:rPr>
          <w:rFonts w:ascii="Arial" w:hAnsi="Arial" w:cs="Arial"/>
          <w:sz w:val="18"/>
          <w:szCs w:val="18"/>
        </w:rPr>
        <w:t>,</w:t>
      </w:r>
      <w:r w:rsidR="00337CFD">
        <w:rPr>
          <w:rFonts w:ascii="Arial" w:hAnsi="Arial" w:cs="Arial"/>
          <w:sz w:val="18"/>
          <w:szCs w:val="18"/>
        </w:rPr>
        <w:t>566</w:t>
      </w:r>
      <w:r w:rsidRPr="004D6FA0">
        <w:rPr>
          <w:rFonts w:ascii="Arial" w:hAnsi="Arial" w:cs="Arial"/>
          <w:sz w:val="18"/>
          <w:szCs w:val="18"/>
        </w:rPr>
        <w:t>,</w:t>
      </w:r>
      <w:r w:rsidR="00337CFD">
        <w:rPr>
          <w:rFonts w:ascii="Arial" w:hAnsi="Arial" w:cs="Arial"/>
          <w:sz w:val="18"/>
          <w:szCs w:val="18"/>
        </w:rPr>
        <w:t>252</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337CFD">
        <w:rPr>
          <w:rFonts w:ascii="Arial" w:hAnsi="Arial" w:cs="Arial"/>
          <w:sz w:val="18"/>
          <w:szCs w:val="18"/>
        </w:rPr>
        <w:t>60</w:t>
      </w:r>
      <w:r w:rsidR="00EC5C97">
        <w:rPr>
          <w:rFonts w:ascii="Arial" w:hAnsi="Arial" w:cs="Arial"/>
          <w:sz w:val="18"/>
          <w:szCs w:val="18"/>
        </w:rPr>
        <w:t>% en este rubro, respecto 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45707EE0"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w:t>
      </w:r>
      <w:r>
        <w:rPr>
          <w:rFonts w:ascii="Arial" w:hAnsi="Arial" w:cs="Arial"/>
          <w:sz w:val="18"/>
          <w:szCs w:val="18"/>
        </w:rPr>
        <w:lastRenderedPageBreak/>
        <w:t xml:space="preserve">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337CFD">
        <w:rPr>
          <w:rFonts w:ascii="Arial" w:hAnsi="Arial" w:cs="Arial"/>
          <w:sz w:val="18"/>
          <w:szCs w:val="18"/>
        </w:rPr>
        <w:t>5</w:t>
      </w:r>
      <w:r>
        <w:rPr>
          <w:rFonts w:ascii="Arial" w:hAnsi="Arial" w:cs="Arial"/>
          <w:sz w:val="18"/>
          <w:szCs w:val="18"/>
        </w:rPr>
        <w:t>,</w:t>
      </w:r>
      <w:r w:rsidR="00337CFD">
        <w:rPr>
          <w:rFonts w:ascii="Arial" w:hAnsi="Arial" w:cs="Arial"/>
          <w:sz w:val="18"/>
          <w:szCs w:val="18"/>
        </w:rPr>
        <w:t>576</w:t>
      </w:r>
      <w:r>
        <w:rPr>
          <w:rFonts w:ascii="Arial" w:hAnsi="Arial" w:cs="Arial"/>
          <w:sz w:val="18"/>
          <w:szCs w:val="18"/>
        </w:rPr>
        <w:t>,</w:t>
      </w:r>
      <w:r w:rsidR="00337CFD">
        <w:rPr>
          <w:rFonts w:ascii="Arial" w:hAnsi="Arial" w:cs="Arial"/>
          <w:sz w:val="18"/>
          <w:szCs w:val="18"/>
        </w:rPr>
        <w:t>888</w:t>
      </w:r>
      <w:r>
        <w:rPr>
          <w:rFonts w:ascii="Arial" w:hAnsi="Arial" w:cs="Arial"/>
          <w:sz w:val="18"/>
          <w:szCs w:val="18"/>
        </w:rPr>
        <w:t>,</w:t>
      </w:r>
      <w:r w:rsidR="00337CFD">
        <w:rPr>
          <w:rFonts w:ascii="Arial" w:hAnsi="Arial" w:cs="Arial"/>
          <w:sz w:val="18"/>
          <w:szCs w:val="18"/>
        </w:rPr>
        <w:t>890</w:t>
      </w:r>
      <w:r>
        <w:rPr>
          <w:rFonts w:ascii="Arial" w:hAnsi="Arial" w:cs="Arial"/>
          <w:sz w:val="18"/>
          <w:szCs w:val="18"/>
        </w:rPr>
        <w:t xml:space="preserve"> al mes de </w:t>
      </w:r>
      <w:r w:rsidR="00337CF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337CFD">
        <w:rPr>
          <w:rFonts w:ascii="Arial" w:hAnsi="Arial" w:cs="Arial"/>
          <w:sz w:val="18"/>
          <w:szCs w:val="18"/>
        </w:rPr>
        <w:t>de</w:t>
      </w:r>
      <w:r w:rsidR="00EC5C97">
        <w:rPr>
          <w:rFonts w:ascii="Arial" w:hAnsi="Arial" w:cs="Arial"/>
          <w:sz w:val="18"/>
          <w:szCs w:val="18"/>
        </w:rPr>
        <w:t xml:space="preserve">cremento del </w:t>
      </w:r>
      <w:r w:rsidR="00337CFD">
        <w:rPr>
          <w:rFonts w:ascii="Arial" w:hAnsi="Arial" w:cs="Arial"/>
          <w:sz w:val="18"/>
          <w:szCs w:val="18"/>
        </w:rPr>
        <w:t>80</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3321539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337CFD">
        <w:rPr>
          <w:rFonts w:ascii="Arial" w:hAnsi="Arial" w:cs="Arial"/>
          <w:sz w:val="18"/>
          <w:szCs w:val="18"/>
        </w:rPr>
        <w:t>3</w:t>
      </w:r>
      <w:r>
        <w:rPr>
          <w:rFonts w:ascii="Arial" w:hAnsi="Arial" w:cs="Arial"/>
          <w:sz w:val="18"/>
          <w:szCs w:val="18"/>
        </w:rPr>
        <w:t>,</w:t>
      </w:r>
      <w:r w:rsidR="00337CFD">
        <w:rPr>
          <w:rFonts w:ascii="Arial" w:hAnsi="Arial" w:cs="Arial"/>
          <w:sz w:val="18"/>
          <w:szCs w:val="18"/>
        </w:rPr>
        <w:t>269</w:t>
      </w:r>
      <w:r>
        <w:rPr>
          <w:rFonts w:ascii="Arial" w:hAnsi="Arial" w:cs="Arial"/>
          <w:sz w:val="18"/>
          <w:szCs w:val="18"/>
        </w:rPr>
        <w:t>,</w:t>
      </w:r>
      <w:r w:rsidR="00337CFD">
        <w:rPr>
          <w:rFonts w:ascii="Arial" w:hAnsi="Arial" w:cs="Arial"/>
          <w:sz w:val="18"/>
          <w:szCs w:val="18"/>
        </w:rPr>
        <w:t>260</w:t>
      </w:r>
      <w:r>
        <w:rPr>
          <w:rFonts w:ascii="Arial" w:hAnsi="Arial" w:cs="Arial"/>
          <w:sz w:val="18"/>
          <w:szCs w:val="18"/>
        </w:rPr>
        <w:t>,</w:t>
      </w:r>
      <w:r w:rsidR="00337CFD">
        <w:rPr>
          <w:rFonts w:ascii="Arial" w:hAnsi="Arial" w:cs="Arial"/>
          <w:sz w:val="18"/>
          <w:szCs w:val="18"/>
        </w:rPr>
        <w:t>979</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337CFD">
        <w:rPr>
          <w:rFonts w:ascii="Arial" w:hAnsi="Arial" w:cs="Arial"/>
          <w:sz w:val="18"/>
          <w:szCs w:val="18"/>
        </w:rPr>
        <w:t>6</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12BAAE04"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DD43EF">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37A26F75" w:rsidR="00AE0E84" w:rsidRPr="0004135F" w:rsidRDefault="00337CFD"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615</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431</w:t>
            </w:r>
          </w:p>
        </w:tc>
        <w:tc>
          <w:tcPr>
            <w:tcW w:w="1214" w:type="dxa"/>
            <w:tcBorders>
              <w:top w:val="nil"/>
              <w:left w:val="nil"/>
              <w:bottom w:val="single" w:sz="8" w:space="0" w:color="auto"/>
              <w:right w:val="single" w:sz="8" w:space="0" w:color="auto"/>
            </w:tcBorders>
            <w:shd w:val="clear" w:color="auto" w:fill="auto"/>
            <w:noWrap/>
            <w:vAlign w:val="center"/>
          </w:tcPr>
          <w:p w14:paraId="6E3D10BF" w14:textId="3A1C3507"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3.78</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3D23EE52" w:rsidR="00AE0E84" w:rsidRPr="0004135F" w:rsidRDefault="00337CF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056</w:t>
            </w:r>
          </w:p>
        </w:tc>
        <w:tc>
          <w:tcPr>
            <w:tcW w:w="1214" w:type="dxa"/>
            <w:tcBorders>
              <w:top w:val="nil"/>
              <w:left w:val="nil"/>
              <w:bottom w:val="single" w:sz="8" w:space="0" w:color="auto"/>
              <w:right w:val="single" w:sz="8" w:space="0" w:color="auto"/>
            </w:tcBorders>
            <w:shd w:val="clear" w:color="auto" w:fill="auto"/>
            <w:noWrap/>
            <w:vAlign w:val="center"/>
          </w:tcPr>
          <w:p w14:paraId="279F69EC" w14:textId="589EDA7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31.81</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40D6D8CF" w:rsidR="00AE0E84" w:rsidRPr="0004135F" w:rsidRDefault="00337CF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724</w:t>
            </w:r>
            <w:r w:rsidR="006141F9">
              <w:rPr>
                <w:rFonts w:eastAsia="Times New Roman" w:cstheme="minorHAnsi"/>
                <w:color w:val="000000"/>
                <w:sz w:val="20"/>
                <w:szCs w:val="18"/>
                <w:lang w:eastAsia="es-MX"/>
              </w:rPr>
              <w:t>,</w:t>
            </w:r>
            <w:r w:rsidR="00DD43EF">
              <w:rPr>
                <w:rFonts w:eastAsia="Times New Roman" w:cstheme="minorHAnsi"/>
                <w:color w:val="000000"/>
                <w:sz w:val="20"/>
                <w:szCs w:val="18"/>
                <w:lang w:eastAsia="es-MX"/>
              </w:rPr>
              <w:t>107</w:t>
            </w:r>
          </w:p>
        </w:tc>
        <w:tc>
          <w:tcPr>
            <w:tcW w:w="1214" w:type="dxa"/>
            <w:tcBorders>
              <w:top w:val="nil"/>
              <w:left w:val="nil"/>
              <w:bottom w:val="single" w:sz="8" w:space="0" w:color="auto"/>
              <w:right w:val="single" w:sz="8" w:space="0" w:color="auto"/>
            </w:tcBorders>
            <w:shd w:val="clear" w:color="auto" w:fill="auto"/>
            <w:noWrap/>
            <w:vAlign w:val="center"/>
          </w:tcPr>
          <w:p w14:paraId="5E3983A1" w14:textId="6BF6930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2.65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1668A694"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353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819</w:t>
            </w:r>
          </w:p>
        </w:tc>
        <w:tc>
          <w:tcPr>
            <w:tcW w:w="1214" w:type="dxa"/>
            <w:tcBorders>
              <w:top w:val="nil"/>
              <w:left w:val="nil"/>
              <w:bottom w:val="single" w:sz="8" w:space="0" w:color="auto"/>
              <w:right w:val="single" w:sz="8" w:space="0" w:color="auto"/>
            </w:tcBorders>
            <w:shd w:val="clear" w:color="auto" w:fill="auto"/>
            <w:noWrap/>
            <w:vAlign w:val="center"/>
          </w:tcPr>
          <w:p w14:paraId="7F8B696D" w14:textId="441C7EF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19.21</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6B2C99AC"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316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059</w:t>
            </w:r>
          </w:p>
        </w:tc>
        <w:tc>
          <w:tcPr>
            <w:tcW w:w="1214" w:type="dxa"/>
            <w:tcBorders>
              <w:top w:val="nil"/>
              <w:left w:val="nil"/>
              <w:bottom w:val="single" w:sz="8" w:space="0" w:color="auto"/>
              <w:right w:val="single" w:sz="8" w:space="0" w:color="auto"/>
            </w:tcBorders>
            <w:shd w:val="clear" w:color="auto" w:fill="auto"/>
            <w:noWrap/>
            <w:vAlign w:val="center"/>
          </w:tcPr>
          <w:p w14:paraId="7186E41E" w14:textId="0D20B0AE" w:rsidR="000B552D"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17.19</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675ED755" w:rsidR="00E828CB"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801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858</w:t>
            </w:r>
          </w:p>
        </w:tc>
        <w:tc>
          <w:tcPr>
            <w:tcW w:w="1214" w:type="dxa"/>
            <w:tcBorders>
              <w:top w:val="nil"/>
              <w:left w:val="nil"/>
              <w:bottom w:val="single" w:sz="8" w:space="0" w:color="auto"/>
              <w:right w:val="single" w:sz="8" w:space="0" w:color="auto"/>
            </w:tcBorders>
            <w:shd w:val="clear" w:color="auto" w:fill="auto"/>
            <w:noWrap/>
            <w:vAlign w:val="center"/>
          </w:tcPr>
          <w:p w14:paraId="173E7ADB" w14:textId="3B658F95" w:rsidR="00E828CB"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8.09</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707EB5A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780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267</w:t>
            </w:r>
          </w:p>
        </w:tc>
        <w:tc>
          <w:tcPr>
            <w:tcW w:w="1214" w:type="dxa"/>
            <w:tcBorders>
              <w:top w:val="nil"/>
              <w:left w:val="nil"/>
              <w:bottom w:val="single" w:sz="8" w:space="0" w:color="auto"/>
              <w:right w:val="single" w:sz="8" w:space="0" w:color="auto"/>
            </w:tcBorders>
            <w:shd w:val="clear" w:color="auto" w:fill="auto"/>
            <w:noWrap/>
            <w:vAlign w:val="center"/>
          </w:tcPr>
          <w:p w14:paraId="6C945F4F" w14:textId="78872623"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0.80</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1143BA7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059</w:t>
            </w:r>
          </w:p>
        </w:tc>
        <w:tc>
          <w:tcPr>
            <w:tcW w:w="1214" w:type="dxa"/>
            <w:tcBorders>
              <w:top w:val="nil"/>
              <w:left w:val="nil"/>
              <w:bottom w:val="single" w:sz="8" w:space="0" w:color="auto"/>
              <w:right w:val="single" w:sz="8" w:space="0" w:color="auto"/>
            </w:tcBorders>
            <w:shd w:val="clear" w:color="auto" w:fill="auto"/>
            <w:noWrap/>
            <w:vAlign w:val="center"/>
          </w:tcPr>
          <w:p w14:paraId="4FDD53D7" w14:textId="21A6642D"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0.91</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24266BCA"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274</w:t>
            </w:r>
          </w:p>
        </w:tc>
        <w:tc>
          <w:tcPr>
            <w:tcW w:w="1214" w:type="dxa"/>
            <w:tcBorders>
              <w:top w:val="nil"/>
              <w:left w:val="nil"/>
              <w:bottom w:val="single" w:sz="8" w:space="0" w:color="auto"/>
              <w:right w:val="single" w:sz="8" w:space="0" w:color="auto"/>
            </w:tcBorders>
            <w:shd w:val="clear" w:color="auto" w:fill="auto"/>
            <w:noWrap/>
            <w:vAlign w:val="center"/>
          </w:tcPr>
          <w:p w14:paraId="73AE023E" w14:textId="2507FF5C"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3.19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5A40D2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22</w:t>
            </w:r>
            <w:r w:rsidR="00053994">
              <w:rPr>
                <w:rFonts w:eastAsia="Times New Roman" w:cstheme="minorHAnsi"/>
                <w:color w:val="000000"/>
                <w:sz w:val="20"/>
                <w:szCs w:val="18"/>
                <w:lang w:eastAsia="es-MX"/>
              </w:rPr>
              <w:t>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492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754</w:t>
            </w:r>
          </w:p>
        </w:tc>
        <w:tc>
          <w:tcPr>
            <w:tcW w:w="1214" w:type="dxa"/>
            <w:tcBorders>
              <w:top w:val="nil"/>
              <w:left w:val="nil"/>
              <w:bottom w:val="single" w:sz="8" w:space="0" w:color="auto"/>
              <w:right w:val="single" w:sz="8" w:space="0" w:color="auto"/>
            </w:tcBorders>
            <w:shd w:val="clear" w:color="auto" w:fill="auto"/>
            <w:noWrap/>
            <w:vAlign w:val="center"/>
          </w:tcPr>
          <w:p w14:paraId="2DD88D54" w14:textId="72E1AA4B"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12.37</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6267BE80"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053994" w:rsidRPr="00053994">
              <w:rPr>
                <w:rFonts w:eastAsia="Times New Roman" w:cstheme="minorHAnsi"/>
                <w:b/>
                <w:bCs/>
                <w:color w:val="000000"/>
                <w:sz w:val="20"/>
                <w:szCs w:val="18"/>
                <w:lang w:eastAsia="es-MX"/>
              </w:rPr>
              <w:t>1</w:t>
            </w:r>
            <w:r w:rsidR="00AE0E84" w:rsidRPr="00053994">
              <w:rPr>
                <w:rFonts w:eastAsia="Times New Roman" w:cstheme="minorHAnsi"/>
                <w:b/>
                <w:bCs/>
                <w:color w:val="000000"/>
                <w:sz w:val="20"/>
                <w:szCs w:val="18"/>
                <w:lang w:eastAsia="es-MX"/>
              </w:rPr>
              <w:t>,</w:t>
            </w:r>
            <w:r w:rsidR="00DD43EF">
              <w:rPr>
                <w:rFonts w:eastAsia="Times New Roman" w:cstheme="minorHAnsi"/>
                <w:b/>
                <w:bCs/>
                <w:color w:val="000000"/>
                <w:sz w:val="20"/>
                <w:szCs w:val="18"/>
                <w:lang w:eastAsia="es-MX"/>
              </w:rPr>
              <w:t>839</w:t>
            </w:r>
            <w:r w:rsidR="00AE0E84" w:rsidRPr="00053994">
              <w:rPr>
                <w:rFonts w:eastAsia="Times New Roman" w:cstheme="minorHAnsi"/>
                <w:b/>
                <w:bCs/>
                <w:color w:val="000000"/>
                <w:sz w:val="20"/>
                <w:szCs w:val="18"/>
                <w:lang w:eastAsia="es-MX"/>
              </w:rPr>
              <w:t>,</w:t>
            </w:r>
            <w:r w:rsidR="00DD43EF">
              <w:rPr>
                <w:rFonts w:eastAsia="Times New Roman" w:cstheme="minorHAnsi"/>
                <w:b/>
                <w:bCs/>
                <w:color w:val="000000"/>
                <w:sz w:val="20"/>
                <w:szCs w:val="18"/>
                <w:lang w:eastAsia="es-MX"/>
              </w:rPr>
              <w:t>2</w:t>
            </w:r>
            <w:r w:rsidR="00053994" w:rsidRPr="00053994">
              <w:rPr>
                <w:rFonts w:eastAsia="Times New Roman" w:cstheme="minorHAnsi"/>
                <w:b/>
                <w:bCs/>
                <w:color w:val="000000"/>
                <w:sz w:val="20"/>
                <w:szCs w:val="18"/>
                <w:lang w:eastAsia="es-MX"/>
              </w:rPr>
              <w:t>7</w:t>
            </w:r>
            <w:r w:rsidR="00DD43EF">
              <w:rPr>
                <w:rFonts w:eastAsia="Times New Roman" w:cstheme="minorHAnsi"/>
                <w:b/>
                <w:bCs/>
                <w:color w:val="000000"/>
                <w:sz w:val="20"/>
                <w:szCs w:val="18"/>
                <w:lang w:eastAsia="es-MX"/>
              </w:rPr>
              <w:t>5</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6</w:t>
            </w:r>
            <w:r w:rsidR="00DD43EF">
              <w:rPr>
                <w:rFonts w:eastAsia="Times New Roman" w:cstheme="minorHAnsi"/>
                <w:b/>
                <w:bCs/>
                <w:color w:val="000000"/>
                <w:sz w:val="20"/>
                <w:szCs w:val="18"/>
                <w:lang w:eastAsia="es-MX"/>
              </w:rPr>
              <w:t>8</w:t>
            </w:r>
            <w:r w:rsidR="00053994" w:rsidRPr="00053994">
              <w:rPr>
                <w:rFonts w:eastAsia="Times New Roman" w:cstheme="minorHAnsi"/>
                <w:b/>
                <w:bCs/>
                <w:color w:val="000000"/>
                <w:sz w:val="20"/>
                <w:szCs w:val="18"/>
                <w:lang w:eastAsia="es-MX"/>
              </w:rPr>
              <w:t>4</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0322B4A5"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E4134">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E4134">
        <w:rPr>
          <w:rFonts w:ascii="Arial" w:hAnsi="Arial" w:cs="Arial"/>
          <w:sz w:val="18"/>
          <w:szCs w:val="18"/>
        </w:rPr>
        <w:t>457</w:t>
      </w:r>
      <w:r w:rsidR="0098545B">
        <w:rPr>
          <w:rFonts w:ascii="Arial" w:hAnsi="Arial" w:cs="Arial"/>
          <w:sz w:val="18"/>
          <w:szCs w:val="18"/>
        </w:rPr>
        <w:t>,</w:t>
      </w:r>
      <w:r w:rsidR="00FE4134">
        <w:rPr>
          <w:rFonts w:ascii="Arial" w:hAnsi="Arial" w:cs="Arial"/>
          <w:sz w:val="18"/>
          <w:szCs w:val="18"/>
        </w:rPr>
        <w:t>869</w:t>
      </w:r>
      <w:r w:rsidR="0098545B">
        <w:rPr>
          <w:rFonts w:ascii="Arial" w:hAnsi="Arial" w:cs="Arial"/>
          <w:sz w:val="18"/>
          <w:szCs w:val="18"/>
        </w:rPr>
        <w:t>,</w:t>
      </w:r>
      <w:r w:rsidR="00FE4134">
        <w:rPr>
          <w:rFonts w:ascii="Arial" w:hAnsi="Arial" w:cs="Arial"/>
          <w:sz w:val="18"/>
          <w:szCs w:val="18"/>
        </w:rPr>
        <w:t>233</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79C3962C"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FE4134">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E4134">
        <w:rPr>
          <w:rFonts w:ascii="Arial" w:hAnsi="Arial" w:cs="Arial"/>
          <w:sz w:val="18"/>
          <w:szCs w:val="18"/>
        </w:rPr>
        <w:t>marzo</w:t>
      </w:r>
      <w:r w:rsidR="00134F21">
        <w:rPr>
          <w:rFonts w:ascii="Arial" w:hAnsi="Arial" w:cs="Arial"/>
          <w:sz w:val="18"/>
          <w:szCs w:val="18"/>
        </w:rPr>
        <w:t xml:space="preserve"> por este concepto un monto de $</w:t>
      </w:r>
      <w:r w:rsidR="00FE4134">
        <w:rPr>
          <w:rFonts w:ascii="Arial" w:hAnsi="Arial" w:cs="Arial"/>
          <w:sz w:val="18"/>
          <w:szCs w:val="18"/>
        </w:rPr>
        <w:t>683</w:t>
      </w:r>
      <w:r w:rsidR="00134F21">
        <w:rPr>
          <w:rFonts w:ascii="Arial" w:hAnsi="Arial" w:cs="Arial"/>
          <w:sz w:val="18"/>
          <w:szCs w:val="18"/>
        </w:rPr>
        <w:t>,</w:t>
      </w:r>
      <w:r w:rsidR="00FE4134">
        <w:rPr>
          <w:rFonts w:ascii="Arial" w:hAnsi="Arial" w:cs="Arial"/>
          <w:sz w:val="18"/>
          <w:szCs w:val="18"/>
        </w:rPr>
        <w:t>587</w:t>
      </w:r>
      <w:r w:rsidR="00134F21">
        <w:rPr>
          <w:rFonts w:ascii="Arial" w:hAnsi="Arial" w:cs="Arial"/>
          <w:sz w:val="18"/>
          <w:szCs w:val="18"/>
        </w:rPr>
        <w:t>,</w:t>
      </w:r>
      <w:r w:rsidR="00FE4134">
        <w:rPr>
          <w:rFonts w:ascii="Arial" w:hAnsi="Arial" w:cs="Arial"/>
          <w:sz w:val="18"/>
          <w:szCs w:val="18"/>
        </w:rPr>
        <w:t>289</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E4134">
        <w:rPr>
          <w:rFonts w:ascii="Arial" w:hAnsi="Arial" w:cs="Arial"/>
          <w:sz w:val="18"/>
          <w:szCs w:val="18"/>
        </w:rPr>
        <w:t>dec</w:t>
      </w:r>
      <w:r w:rsidR="007615D9">
        <w:rPr>
          <w:rFonts w:ascii="Arial" w:hAnsi="Arial" w:cs="Arial"/>
          <w:sz w:val="18"/>
          <w:szCs w:val="18"/>
        </w:rPr>
        <w:t xml:space="preserve">remento del </w:t>
      </w:r>
      <w:r w:rsidR="00FE4134">
        <w:rPr>
          <w:rFonts w:ascii="Arial" w:hAnsi="Arial" w:cs="Arial"/>
          <w:sz w:val="18"/>
          <w:szCs w:val="18"/>
        </w:rPr>
        <w:t>79</w:t>
      </w:r>
      <w:r w:rsidR="007615D9">
        <w:rPr>
          <w:rFonts w:ascii="Arial" w:hAnsi="Arial" w:cs="Arial"/>
          <w:sz w:val="18"/>
          <w:szCs w:val="18"/>
        </w:rPr>
        <w:t>% respecto al 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47047557"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355E3E">
        <w:rPr>
          <w:rFonts w:ascii="Arial" w:hAnsi="Arial" w:cs="Arial"/>
          <w:sz w:val="18"/>
          <w:szCs w:val="18"/>
        </w:rPr>
        <w:t>20</w:t>
      </w:r>
      <w:r>
        <w:rPr>
          <w:rFonts w:ascii="Arial" w:hAnsi="Arial" w:cs="Arial"/>
          <w:sz w:val="18"/>
          <w:szCs w:val="18"/>
        </w:rPr>
        <w:t>,</w:t>
      </w:r>
      <w:r w:rsidR="00355E3E">
        <w:rPr>
          <w:rFonts w:ascii="Arial" w:hAnsi="Arial" w:cs="Arial"/>
          <w:sz w:val="18"/>
          <w:szCs w:val="18"/>
        </w:rPr>
        <w:t>085</w:t>
      </w:r>
      <w:r>
        <w:rPr>
          <w:rFonts w:ascii="Arial" w:hAnsi="Arial" w:cs="Arial"/>
          <w:sz w:val="18"/>
          <w:szCs w:val="18"/>
        </w:rPr>
        <w:t>,</w:t>
      </w:r>
      <w:r w:rsidR="00355E3E">
        <w:rPr>
          <w:rFonts w:ascii="Arial" w:hAnsi="Arial" w:cs="Arial"/>
          <w:sz w:val="18"/>
          <w:szCs w:val="18"/>
        </w:rPr>
        <w:t>937</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1067349F"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355E3E">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355E3E">
        <w:rPr>
          <w:rFonts w:ascii="Arial" w:hAnsi="Arial" w:cs="Arial"/>
          <w:sz w:val="18"/>
          <w:szCs w:val="18"/>
        </w:rPr>
        <w:t>47</w:t>
      </w:r>
      <w:r w:rsidR="009E71C0">
        <w:rPr>
          <w:rFonts w:ascii="Arial" w:hAnsi="Arial" w:cs="Arial"/>
          <w:sz w:val="18"/>
          <w:szCs w:val="18"/>
        </w:rPr>
        <w:t>,</w:t>
      </w:r>
      <w:r w:rsidR="00355E3E">
        <w:rPr>
          <w:rFonts w:ascii="Arial" w:hAnsi="Arial" w:cs="Arial"/>
          <w:sz w:val="18"/>
          <w:szCs w:val="18"/>
        </w:rPr>
        <w:t>838</w:t>
      </w:r>
      <w:r w:rsidR="00BA3B1D">
        <w:rPr>
          <w:rFonts w:ascii="Arial" w:hAnsi="Arial" w:cs="Arial"/>
          <w:sz w:val="18"/>
          <w:szCs w:val="18"/>
        </w:rPr>
        <w:t>,</w:t>
      </w:r>
      <w:r w:rsidR="00355E3E">
        <w:rPr>
          <w:rFonts w:ascii="Arial" w:hAnsi="Arial" w:cs="Arial"/>
          <w:sz w:val="18"/>
          <w:szCs w:val="18"/>
        </w:rPr>
        <w:t>455</w:t>
      </w:r>
      <w:r w:rsidRPr="0073056A">
        <w:rPr>
          <w:rFonts w:ascii="Arial" w:hAnsi="Arial" w:cs="Arial"/>
          <w:sz w:val="18"/>
          <w:szCs w:val="18"/>
        </w:rPr>
        <w:t>.</w:t>
      </w:r>
      <w:r w:rsidR="007615D9">
        <w:rPr>
          <w:rFonts w:ascii="Arial" w:hAnsi="Arial" w:cs="Arial"/>
          <w:sz w:val="18"/>
          <w:szCs w:val="18"/>
        </w:rPr>
        <w:t xml:space="preserve"> Lo que representa un </w:t>
      </w:r>
      <w:r w:rsidR="00355E3E">
        <w:rPr>
          <w:rFonts w:ascii="Arial" w:hAnsi="Arial" w:cs="Arial"/>
          <w:sz w:val="18"/>
          <w:szCs w:val="18"/>
        </w:rPr>
        <w:t>de</w:t>
      </w:r>
      <w:r w:rsidR="007615D9">
        <w:rPr>
          <w:rFonts w:ascii="Arial" w:hAnsi="Arial" w:cs="Arial"/>
          <w:sz w:val="18"/>
          <w:szCs w:val="18"/>
        </w:rPr>
        <w:t xml:space="preserve">cremento del </w:t>
      </w:r>
      <w:r w:rsidR="00355E3E">
        <w:rPr>
          <w:rFonts w:ascii="Arial" w:hAnsi="Arial" w:cs="Arial"/>
          <w:sz w:val="18"/>
          <w:szCs w:val="18"/>
        </w:rPr>
        <w:t>91</w:t>
      </w:r>
      <w:r w:rsidR="007615D9">
        <w:rPr>
          <w:rFonts w:ascii="Arial" w:hAnsi="Arial" w:cs="Arial"/>
          <w:sz w:val="18"/>
          <w:szCs w:val="18"/>
        </w:rPr>
        <w:t>% respecto al 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15550515"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355E3E">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w:t>
      </w:r>
      <w:r>
        <w:rPr>
          <w:rFonts w:ascii="Arial" w:hAnsi="Arial" w:cs="Arial"/>
          <w:sz w:val="18"/>
          <w:szCs w:val="18"/>
        </w:rPr>
        <w:lastRenderedPageBreak/>
        <w:t>observan un monto de $</w:t>
      </w:r>
      <w:r w:rsidR="00355E3E">
        <w:rPr>
          <w:rFonts w:ascii="Arial" w:hAnsi="Arial" w:cs="Arial"/>
          <w:sz w:val="18"/>
          <w:szCs w:val="18"/>
        </w:rPr>
        <w:t>2</w:t>
      </w:r>
      <w:r w:rsidR="001A78A4">
        <w:rPr>
          <w:rFonts w:ascii="Arial" w:hAnsi="Arial" w:cs="Arial"/>
          <w:sz w:val="18"/>
          <w:szCs w:val="18"/>
        </w:rPr>
        <w:t>,</w:t>
      </w:r>
      <w:r w:rsidR="00355E3E">
        <w:rPr>
          <w:rFonts w:ascii="Arial" w:hAnsi="Arial" w:cs="Arial"/>
          <w:sz w:val="18"/>
          <w:szCs w:val="18"/>
        </w:rPr>
        <w:t>385</w:t>
      </w:r>
      <w:r>
        <w:rPr>
          <w:rFonts w:ascii="Arial" w:hAnsi="Arial" w:cs="Arial"/>
          <w:sz w:val="18"/>
          <w:szCs w:val="18"/>
        </w:rPr>
        <w:t>,</w:t>
      </w:r>
      <w:r w:rsidR="00355E3E">
        <w:rPr>
          <w:rFonts w:ascii="Arial" w:hAnsi="Arial" w:cs="Arial"/>
          <w:sz w:val="18"/>
          <w:szCs w:val="18"/>
        </w:rPr>
        <w:t>490</w:t>
      </w:r>
      <w:r>
        <w:rPr>
          <w:rFonts w:ascii="Arial" w:hAnsi="Arial" w:cs="Arial"/>
          <w:sz w:val="18"/>
          <w:szCs w:val="18"/>
        </w:rPr>
        <w:t>,</w:t>
      </w:r>
      <w:r w:rsidR="00355E3E">
        <w:rPr>
          <w:rFonts w:ascii="Arial" w:hAnsi="Arial" w:cs="Arial"/>
          <w:sz w:val="18"/>
          <w:szCs w:val="18"/>
        </w:rPr>
        <w:t>583</w:t>
      </w:r>
      <w:r>
        <w:rPr>
          <w:rFonts w:ascii="Arial" w:hAnsi="Arial" w:cs="Arial"/>
          <w:sz w:val="18"/>
          <w:szCs w:val="18"/>
        </w:rPr>
        <w:t xml:space="preserve"> de los cuales los principales sectores que reciben estas asignaciones son el sector educativo al cual le corresponde el </w:t>
      </w:r>
      <w:r w:rsidR="00355E3E">
        <w:rPr>
          <w:rFonts w:ascii="Arial" w:hAnsi="Arial" w:cs="Arial"/>
          <w:sz w:val="18"/>
          <w:szCs w:val="18"/>
        </w:rPr>
        <w:t>34%</w:t>
      </w:r>
      <w:r>
        <w:rPr>
          <w:rFonts w:ascii="Arial" w:hAnsi="Arial" w:cs="Arial"/>
          <w:sz w:val="18"/>
          <w:szCs w:val="18"/>
        </w:rPr>
        <w:t xml:space="preserve"> y el sector salud con un </w:t>
      </w:r>
      <w:r w:rsidR="00155DFE">
        <w:rPr>
          <w:rFonts w:ascii="Arial" w:hAnsi="Arial" w:cs="Arial"/>
          <w:sz w:val="18"/>
          <w:szCs w:val="18"/>
        </w:rPr>
        <w:t>5</w:t>
      </w:r>
      <w:r w:rsidR="00355E3E">
        <w:rPr>
          <w:rFonts w:ascii="Arial" w:hAnsi="Arial" w:cs="Arial"/>
          <w:sz w:val="18"/>
          <w:szCs w:val="18"/>
        </w:rPr>
        <w:t>0</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355E3E">
        <w:rPr>
          <w:rFonts w:ascii="Arial" w:hAnsi="Arial" w:cs="Arial"/>
          <w:sz w:val="18"/>
          <w:szCs w:val="18"/>
        </w:rPr>
        <w:t>13</w:t>
      </w:r>
      <w:r>
        <w:rPr>
          <w:rFonts w:ascii="Arial" w:hAnsi="Arial" w:cs="Arial"/>
          <w:sz w:val="18"/>
          <w:szCs w:val="18"/>
        </w:rPr>
        <w:t>% a otros organismos del sector público</w:t>
      </w:r>
      <w:r w:rsidR="00155DFE">
        <w:rPr>
          <w:rFonts w:ascii="Arial" w:hAnsi="Arial" w:cs="Arial"/>
          <w:sz w:val="18"/>
          <w:szCs w:val="18"/>
        </w:rPr>
        <w:t xml:space="preserve"> y el restante </w:t>
      </w:r>
      <w:r w:rsidR="00355E3E">
        <w:rPr>
          <w:rFonts w:ascii="Arial" w:hAnsi="Arial" w:cs="Arial"/>
          <w:sz w:val="18"/>
          <w:szCs w:val="18"/>
        </w:rPr>
        <w:t>3</w:t>
      </w:r>
      <w:r w:rsidR="00155DFE">
        <w:rPr>
          <w:rFonts w:ascii="Arial" w:hAnsi="Arial" w:cs="Arial"/>
          <w:sz w:val="18"/>
          <w:szCs w:val="18"/>
        </w:rPr>
        <w:t>%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56246DE5"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355E3E">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355E3E">
        <w:rPr>
          <w:rFonts w:ascii="Arial" w:hAnsi="Arial" w:cs="Arial"/>
          <w:sz w:val="18"/>
          <w:szCs w:val="18"/>
        </w:rPr>
        <w:t>1</w:t>
      </w:r>
      <w:r w:rsidR="00303EA9">
        <w:rPr>
          <w:rFonts w:ascii="Arial" w:hAnsi="Arial" w:cs="Arial"/>
          <w:sz w:val="18"/>
          <w:szCs w:val="18"/>
        </w:rPr>
        <w:t>,</w:t>
      </w:r>
      <w:r w:rsidR="00155DFE">
        <w:rPr>
          <w:rFonts w:ascii="Arial" w:hAnsi="Arial" w:cs="Arial"/>
          <w:sz w:val="18"/>
          <w:szCs w:val="18"/>
        </w:rPr>
        <w:t>5</w:t>
      </w:r>
      <w:r w:rsidR="00355E3E">
        <w:rPr>
          <w:rFonts w:ascii="Arial" w:hAnsi="Arial" w:cs="Arial"/>
          <w:sz w:val="18"/>
          <w:szCs w:val="18"/>
        </w:rPr>
        <w:t>98</w:t>
      </w:r>
      <w:r>
        <w:rPr>
          <w:rFonts w:ascii="Arial" w:hAnsi="Arial" w:cs="Arial"/>
          <w:sz w:val="18"/>
          <w:szCs w:val="18"/>
        </w:rPr>
        <w:t>,</w:t>
      </w:r>
      <w:r w:rsidR="00355E3E">
        <w:rPr>
          <w:rFonts w:ascii="Arial" w:hAnsi="Arial" w:cs="Arial"/>
          <w:sz w:val="18"/>
          <w:szCs w:val="18"/>
        </w:rPr>
        <w:t>180</w:t>
      </w:r>
      <w:r>
        <w:rPr>
          <w:rFonts w:ascii="Arial" w:hAnsi="Arial" w:cs="Arial"/>
          <w:sz w:val="18"/>
          <w:szCs w:val="18"/>
        </w:rPr>
        <w:t>,</w:t>
      </w:r>
      <w:r w:rsidR="00355E3E">
        <w:rPr>
          <w:rFonts w:ascii="Arial" w:hAnsi="Arial" w:cs="Arial"/>
          <w:sz w:val="18"/>
          <w:szCs w:val="18"/>
        </w:rPr>
        <w:t>856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55E3E">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155DFE">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355E3E">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355E3E">
        <w:rPr>
          <w:rFonts w:ascii="Arial" w:hAnsi="Arial" w:cs="Arial"/>
          <w:sz w:val="18"/>
          <w:szCs w:val="18"/>
        </w:rPr>
        <w:t>negati</w:t>
      </w:r>
      <w:r w:rsidR="008F164F">
        <w:rPr>
          <w:rFonts w:ascii="Arial" w:hAnsi="Arial" w:cs="Arial"/>
          <w:sz w:val="18"/>
          <w:szCs w:val="18"/>
        </w:rPr>
        <w:t>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2A9256C9"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355E3E">
        <w:rPr>
          <w:rFonts w:ascii="Arial" w:hAnsi="Arial" w:cs="Arial"/>
          <w:sz w:val="18"/>
          <w:szCs w:val="18"/>
        </w:rPr>
        <w:t>3</w:t>
      </w:r>
      <w:r>
        <w:rPr>
          <w:rFonts w:ascii="Arial" w:hAnsi="Arial" w:cs="Arial"/>
          <w:sz w:val="18"/>
          <w:szCs w:val="18"/>
        </w:rPr>
        <w:t>,8</w:t>
      </w:r>
      <w:r w:rsidR="00355E3E">
        <w:rPr>
          <w:rFonts w:ascii="Arial" w:hAnsi="Arial" w:cs="Arial"/>
          <w:sz w:val="18"/>
          <w:szCs w:val="18"/>
        </w:rPr>
        <w:t>16</w:t>
      </w:r>
      <w:r>
        <w:rPr>
          <w:rFonts w:ascii="Arial" w:hAnsi="Arial" w:cs="Arial"/>
          <w:sz w:val="18"/>
          <w:szCs w:val="18"/>
        </w:rPr>
        <w:t>,</w:t>
      </w:r>
      <w:r w:rsidR="00355E3E">
        <w:rPr>
          <w:rFonts w:ascii="Arial" w:hAnsi="Arial" w:cs="Arial"/>
          <w:sz w:val="18"/>
          <w:szCs w:val="18"/>
        </w:rPr>
        <w:t>865</w:t>
      </w:r>
      <w:r>
        <w:rPr>
          <w:rFonts w:ascii="Arial" w:hAnsi="Arial" w:cs="Arial"/>
          <w:sz w:val="18"/>
          <w:szCs w:val="18"/>
        </w:rPr>
        <w:t>,</w:t>
      </w:r>
      <w:r w:rsidR="00355E3E">
        <w:rPr>
          <w:rFonts w:ascii="Arial" w:hAnsi="Arial" w:cs="Arial"/>
          <w:sz w:val="18"/>
          <w:szCs w:val="18"/>
        </w:rPr>
        <w:t>03</w:t>
      </w:r>
      <w:r>
        <w:rPr>
          <w:rFonts w:ascii="Arial" w:hAnsi="Arial" w:cs="Arial"/>
          <w:sz w:val="18"/>
          <w:szCs w:val="18"/>
        </w:rPr>
        <w:t>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355E3E">
        <w:rPr>
          <w:rFonts w:ascii="Arial" w:hAnsi="Arial" w:cs="Arial"/>
          <w:sz w:val="18"/>
          <w:szCs w:val="18"/>
        </w:rPr>
        <w:t>primer</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$9</w:t>
      </w:r>
      <w:r w:rsidR="00B143E2">
        <w:rPr>
          <w:rFonts w:ascii="Arial" w:hAnsi="Arial" w:cs="Arial"/>
          <w:sz w:val="18"/>
          <w:szCs w:val="18"/>
        </w:rPr>
        <w:t>19</w:t>
      </w:r>
      <w:r>
        <w:rPr>
          <w:rFonts w:ascii="Arial" w:hAnsi="Arial" w:cs="Arial"/>
          <w:sz w:val="18"/>
          <w:szCs w:val="18"/>
        </w:rPr>
        <w:t>,</w:t>
      </w:r>
      <w:r w:rsidR="00B143E2">
        <w:rPr>
          <w:rFonts w:ascii="Arial" w:hAnsi="Arial" w:cs="Arial"/>
          <w:sz w:val="18"/>
          <w:szCs w:val="18"/>
        </w:rPr>
        <w:t>144</w:t>
      </w:r>
      <w:r>
        <w:rPr>
          <w:rFonts w:ascii="Arial" w:hAnsi="Arial" w:cs="Arial"/>
          <w:sz w:val="18"/>
          <w:szCs w:val="18"/>
        </w:rPr>
        <w:t>,</w:t>
      </w:r>
      <w:r w:rsidR="00B143E2">
        <w:rPr>
          <w:rFonts w:ascii="Arial" w:hAnsi="Arial" w:cs="Arial"/>
          <w:sz w:val="18"/>
          <w:szCs w:val="18"/>
        </w:rPr>
        <w:t>220</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0B763F8D"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B143E2">
        <w:rPr>
          <w:rFonts w:ascii="Arial" w:hAnsi="Arial" w:cs="Arial"/>
          <w:sz w:val="18"/>
          <w:szCs w:val="18"/>
        </w:rPr>
        <w:t>8</w:t>
      </w:r>
      <w:r>
        <w:rPr>
          <w:rFonts w:ascii="Arial" w:hAnsi="Arial" w:cs="Arial"/>
          <w:sz w:val="18"/>
          <w:szCs w:val="18"/>
        </w:rPr>
        <w:t>,</w:t>
      </w:r>
      <w:r w:rsidR="00B143E2">
        <w:rPr>
          <w:rFonts w:ascii="Arial" w:hAnsi="Arial" w:cs="Arial"/>
          <w:sz w:val="18"/>
          <w:szCs w:val="18"/>
        </w:rPr>
        <w:t>176</w:t>
      </w:r>
      <w:r>
        <w:rPr>
          <w:rFonts w:ascii="Arial" w:hAnsi="Arial" w:cs="Arial"/>
          <w:sz w:val="18"/>
          <w:szCs w:val="18"/>
        </w:rPr>
        <w:t>,</w:t>
      </w:r>
      <w:r w:rsidR="00B143E2">
        <w:rPr>
          <w:rFonts w:ascii="Arial" w:hAnsi="Arial" w:cs="Arial"/>
          <w:sz w:val="18"/>
          <w:szCs w:val="18"/>
        </w:rPr>
        <w:t>070</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B143E2">
        <w:rPr>
          <w:rFonts w:ascii="Arial" w:hAnsi="Arial" w:cs="Arial"/>
          <w:sz w:val="18"/>
          <w:szCs w:val="18"/>
        </w:rPr>
        <w:t>primer</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$6,2</w:t>
      </w:r>
      <w:r w:rsidR="00B143E2">
        <w:rPr>
          <w:rFonts w:ascii="Arial" w:hAnsi="Arial" w:cs="Arial"/>
          <w:sz w:val="18"/>
          <w:szCs w:val="18"/>
        </w:rPr>
        <w:t>13</w:t>
      </w:r>
      <w:r>
        <w:rPr>
          <w:rFonts w:ascii="Arial" w:hAnsi="Arial" w:cs="Arial"/>
          <w:sz w:val="18"/>
          <w:szCs w:val="18"/>
        </w:rPr>
        <w:t>,</w:t>
      </w:r>
      <w:r w:rsidR="00B143E2">
        <w:rPr>
          <w:rFonts w:ascii="Arial" w:hAnsi="Arial" w:cs="Arial"/>
          <w:sz w:val="18"/>
          <w:szCs w:val="18"/>
        </w:rPr>
        <w:t>310</w:t>
      </w:r>
      <w:r>
        <w:rPr>
          <w:rFonts w:ascii="Arial" w:hAnsi="Arial" w:cs="Arial"/>
          <w:sz w:val="18"/>
          <w:szCs w:val="18"/>
        </w:rPr>
        <w:t xml:space="preserve"> respecto al ejercicio de 202</w:t>
      </w:r>
      <w:r w:rsidR="00B143E2">
        <w:rPr>
          <w:rFonts w:ascii="Arial" w:hAnsi="Arial" w:cs="Arial"/>
          <w:sz w:val="18"/>
          <w:szCs w:val="18"/>
        </w:rPr>
        <w:t>3</w:t>
      </w:r>
      <w:r>
        <w:rPr>
          <w:rFonts w:ascii="Arial" w:hAnsi="Arial" w:cs="Arial"/>
          <w:sz w:val="18"/>
          <w:szCs w:val="18"/>
        </w:rPr>
        <w:t>.</w:t>
      </w:r>
    </w:p>
    <w:p w14:paraId="1364FE32" w14:textId="2D28569A"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B143E2">
        <w:rPr>
          <w:rFonts w:ascii="Arial" w:hAnsi="Arial" w:cs="Arial"/>
          <w:sz w:val="18"/>
          <w:szCs w:val="18"/>
        </w:rPr>
        <w:t>primer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$0.00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679209C0"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56A1EB6C"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$344,727,863,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54222CA9"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2,710,</w:t>
      </w:r>
      <w:r w:rsidR="00B143E2">
        <w:rPr>
          <w:rFonts w:ascii="Arial" w:hAnsi="Arial" w:cs="Arial"/>
          <w:sz w:val="18"/>
          <w:szCs w:val="18"/>
        </w:rPr>
        <w:t>994</w:t>
      </w:r>
      <w:r>
        <w:rPr>
          <w:rFonts w:ascii="Arial" w:hAnsi="Arial" w:cs="Arial"/>
          <w:sz w:val="18"/>
          <w:szCs w:val="18"/>
        </w:rPr>
        <w:t>,</w:t>
      </w:r>
      <w:r w:rsidR="00B143E2">
        <w:rPr>
          <w:rFonts w:ascii="Arial" w:hAnsi="Arial" w:cs="Arial"/>
          <w:sz w:val="18"/>
          <w:szCs w:val="18"/>
        </w:rPr>
        <w:t>559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B143E2">
        <w:rPr>
          <w:rFonts w:ascii="Arial" w:hAnsi="Arial" w:cs="Arial"/>
          <w:sz w:val="18"/>
          <w:szCs w:val="18"/>
        </w:rPr>
        <w:t>1</w:t>
      </w:r>
      <w:r>
        <w:rPr>
          <w:rFonts w:ascii="Arial" w:hAnsi="Arial" w:cs="Arial"/>
          <w:sz w:val="18"/>
          <w:szCs w:val="18"/>
        </w:rPr>
        <w:t>% respecto del ejercicio de 202</w:t>
      </w:r>
      <w:r w:rsidR="00B143E2">
        <w:rPr>
          <w:rFonts w:ascii="Arial" w:hAnsi="Arial" w:cs="Arial"/>
          <w:sz w:val="18"/>
          <w:szCs w:val="18"/>
        </w:rPr>
        <w:t>3</w:t>
      </w:r>
      <w:r w:rsidRPr="0073056A">
        <w:rPr>
          <w:rFonts w:ascii="Arial" w:hAnsi="Arial" w:cs="Arial"/>
          <w:sz w:val="18"/>
          <w:szCs w:val="18"/>
        </w:rPr>
        <w:t>.</w:t>
      </w:r>
    </w:p>
    <w:p w14:paraId="75A35802" w14:textId="3DB3A923"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B143E2">
        <w:rPr>
          <w:rFonts w:ascii="Arial" w:hAnsi="Arial" w:cs="Arial"/>
          <w:sz w:val="18"/>
          <w:szCs w:val="18"/>
        </w:rPr>
        <w:t>9</w:t>
      </w:r>
      <w:r w:rsidRPr="00F619D6">
        <w:rPr>
          <w:rFonts w:ascii="Arial" w:hAnsi="Arial" w:cs="Arial"/>
          <w:sz w:val="18"/>
          <w:szCs w:val="18"/>
        </w:rPr>
        <w:t>,</w:t>
      </w:r>
      <w:r w:rsidR="00B143E2">
        <w:rPr>
          <w:rFonts w:ascii="Arial" w:hAnsi="Arial" w:cs="Arial"/>
          <w:sz w:val="18"/>
          <w:szCs w:val="18"/>
        </w:rPr>
        <w:t>726</w:t>
      </w:r>
      <w:r w:rsidRPr="00F619D6">
        <w:rPr>
          <w:rFonts w:ascii="Arial" w:hAnsi="Arial" w:cs="Arial"/>
          <w:sz w:val="18"/>
          <w:szCs w:val="18"/>
        </w:rPr>
        <w:t>,</w:t>
      </w:r>
      <w:r w:rsidR="00B143E2">
        <w:rPr>
          <w:rFonts w:ascii="Arial" w:hAnsi="Arial" w:cs="Arial"/>
          <w:sz w:val="18"/>
          <w:szCs w:val="18"/>
        </w:rPr>
        <w:t>687</w:t>
      </w:r>
      <w:r w:rsidRPr="00F619D6">
        <w:rPr>
          <w:rFonts w:ascii="Arial" w:hAnsi="Arial" w:cs="Arial"/>
          <w:sz w:val="18"/>
          <w:szCs w:val="18"/>
        </w:rPr>
        <w:t>,</w:t>
      </w:r>
      <w:r>
        <w:rPr>
          <w:rFonts w:ascii="Arial" w:hAnsi="Arial" w:cs="Arial"/>
          <w:sz w:val="18"/>
          <w:szCs w:val="18"/>
        </w:rPr>
        <w:t>21</w:t>
      </w:r>
      <w:r w:rsidR="00B143E2">
        <w:rPr>
          <w:rFonts w:ascii="Arial" w:hAnsi="Arial" w:cs="Arial"/>
          <w:sz w:val="18"/>
          <w:szCs w:val="18"/>
        </w:rPr>
        <w:t>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 xml:space="preserve">la operatividad y </w:t>
      </w:r>
      <w:r w:rsidRPr="0073056A">
        <w:rPr>
          <w:rFonts w:ascii="Arial" w:hAnsi="Arial" w:cs="Arial"/>
          <w:sz w:val="18"/>
          <w:szCs w:val="18"/>
        </w:rPr>
        <w:lastRenderedPageBreak/>
        <w:t>administración del mismo; actualmente no se encuentran otorgados en garantía de créditos</w:t>
      </w:r>
      <w:r>
        <w:rPr>
          <w:rFonts w:ascii="Arial" w:hAnsi="Arial" w:cs="Arial"/>
          <w:sz w:val="18"/>
          <w:szCs w:val="18"/>
        </w:rPr>
        <w:t xml:space="preserve">, reflejando un </w:t>
      </w:r>
      <w:r w:rsidR="00B143E2">
        <w:rPr>
          <w:rFonts w:ascii="Arial" w:hAnsi="Arial" w:cs="Arial"/>
          <w:sz w:val="18"/>
          <w:szCs w:val="18"/>
        </w:rPr>
        <w:t>de</w:t>
      </w:r>
      <w:r>
        <w:rPr>
          <w:rFonts w:ascii="Arial" w:hAnsi="Arial" w:cs="Arial"/>
          <w:sz w:val="18"/>
          <w:szCs w:val="18"/>
        </w:rPr>
        <w:t xml:space="preserve">cremento </w:t>
      </w:r>
      <w:r w:rsidR="00B143E2">
        <w:rPr>
          <w:rFonts w:ascii="Arial" w:hAnsi="Arial" w:cs="Arial"/>
          <w:sz w:val="18"/>
          <w:szCs w:val="18"/>
        </w:rPr>
        <w:t>cercano a</w:t>
      </w:r>
      <w:r>
        <w:rPr>
          <w:rFonts w:ascii="Arial" w:hAnsi="Arial" w:cs="Arial"/>
          <w:sz w:val="18"/>
          <w:szCs w:val="18"/>
        </w:rPr>
        <w:t>l 1% respecto al ejercicio de 202</w:t>
      </w:r>
      <w:r w:rsidR="00B143E2">
        <w:rPr>
          <w:rFonts w:ascii="Arial" w:hAnsi="Arial" w:cs="Arial"/>
          <w:sz w:val="18"/>
          <w:szCs w:val="18"/>
        </w:rPr>
        <w:t>3</w:t>
      </w:r>
      <w:r>
        <w:rPr>
          <w:rFonts w:ascii="Arial" w:hAnsi="Arial" w:cs="Arial"/>
          <w:sz w:val="18"/>
          <w:szCs w:val="18"/>
        </w:rPr>
        <w:t>.</w:t>
      </w:r>
    </w:p>
    <w:p w14:paraId="16743E1D" w14:textId="52E07011"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El saldo de $22</w:t>
      </w:r>
      <w:r w:rsidR="00B143E2">
        <w:rPr>
          <w:rFonts w:ascii="Arial" w:hAnsi="Arial" w:cs="Arial"/>
          <w:sz w:val="18"/>
          <w:szCs w:val="18"/>
        </w:rPr>
        <w:t>8</w:t>
      </w:r>
      <w:r>
        <w:rPr>
          <w:rFonts w:ascii="Arial" w:hAnsi="Arial" w:cs="Arial"/>
          <w:sz w:val="18"/>
          <w:szCs w:val="18"/>
        </w:rPr>
        <w:t>,7</w:t>
      </w:r>
      <w:r w:rsidR="00B143E2">
        <w:rPr>
          <w:rFonts w:ascii="Arial" w:hAnsi="Arial" w:cs="Arial"/>
          <w:sz w:val="18"/>
          <w:szCs w:val="18"/>
        </w:rPr>
        <w:t>61</w:t>
      </w:r>
      <w:r>
        <w:rPr>
          <w:rFonts w:ascii="Arial" w:hAnsi="Arial" w:cs="Arial"/>
          <w:sz w:val="18"/>
          <w:szCs w:val="18"/>
        </w:rPr>
        <w:t xml:space="preserve">,807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observándose una variación del 1% en relación al ejercicio de 202</w:t>
      </w:r>
      <w:r w:rsidR="00B143E2">
        <w:rPr>
          <w:rFonts w:ascii="Arial" w:hAnsi="Arial" w:cs="Arial"/>
          <w:sz w:val="18"/>
          <w:szCs w:val="18"/>
        </w:rPr>
        <w:t>3</w:t>
      </w:r>
      <w:r w:rsidRPr="00137E93">
        <w:rPr>
          <w:rFonts w:ascii="Arial" w:hAnsi="Arial" w:cs="Arial"/>
          <w:sz w:val="18"/>
          <w:szCs w:val="18"/>
        </w:rPr>
        <w:t>.</w:t>
      </w:r>
    </w:p>
    <w:p w14:paraId="047F9BE8" w14:textId="77777777" w:rsidR="00637C9C" w:rsidRDefault="00637C9C" w:rsidP="00637C9C">
      <w:pPr>
        <w:pStyle w:val="ROMANOS"/>
        <w:tabs>
          <w:tab w:val="clear" w:pos="720"/>
          <w:tab w:val="left" w:pos="284"/>
        </w:tabs>
        <w:spacing w:after="0" w:line="276" w:lineRule="auto"/>
        <w:ind w:left="284" w:firstLine="0"/>
        <w:rPr>
          <w:b/>
          <w:lang w:val="es-MX"/>
        </w:rPr>
      </w:pPr>
    </w:p>
    <w:p w14:paraId="2E8CBDB1" w14:textId="77777777" w:rsidR="00637C9C" w:rsidRDefault="00637C9C" w:rsidP="00637C9C">
      <w:pPr>
        <w:pStyle w:val="ROMANOS"/>
        <w:tabs>
          <w:tab w:val="clear" w:pos="720"/>
          <w:tab w:val="left" w:pos="284"/>
        </w:tabs>
        <w:spacing w:after="0" w:line="276" w:lineRule="auto"/>
        <w:ind w:left="284" w:firstLine="0"/>
        <w:rPr>
          <w:b/>
          <w:lang w:val="es-MX"/>
        </w:rPr>
      </w:pPr>
    </w:p>
    <w:p w14:paraId="685601CB" w14:textId="77777777" w:rsidR="00637C9C" w:rsidRDefault="00637C9C" w:rsidP="00637C9C">
      <w:pPr>
        <w:pStyle w:val="ROMANOS"/>
        <w:tabs>
          <w:tab w:val="clear" w:pos="720"/>
          <w:tab w:val="left" w:pos="284"/>
        </w:tabs>
        <w:spacing w:after="0" w:line="276" w:lineRule="auto"/>
        <w:ind w:left="284" w:firstLine="0"/>
        <w:rPr>
          <w:b/>
          <w:lang w:val="es-MX"/>
        </w:rPr>
      </w:pPr>
    </w:p>
    <w:p w14:paraId="468FC86C" w14:textId="77777777" w:rsidR="00637C9C" w:rsidRDefault="00637C9C" w:rsidP="00637C9C">
      <w:pPr>
        <w:pStyle w:val="ROMANOS"/>
        <w:tabs>
          <w:tab w:val="clear" w:pos="720"/>
          <w:tab w:val="left" w:pos="284"/>
        </w:tabs>
        <w:spacing w:after="0" w:line="276" w:lineRule="auto"/>
        <w:ind w:left="284" w:firstLine="0"/>
        <w:rPr>
          <w:b/>
          <w:lang w:val="es-MX"/>
        </w:rPr>
      </w:pPr>
    </w:p>
    <w:p w14:paraId="1508C4DB" w14:textId="77777777"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0C74D570" w14:textId="77777777" w:rsidR="00637C9C" w:rsidRPr="00FB6E0E" w:rsidRDefault="00637C9C" w:rsidP="00637C9C">
      <w:pPr>
        <w:pStyle w:val="ROMANOS"/>
        <w:tabs>
          <w:tab w:val="clear" w:pos="720"/>
          <w:tab w:val="left" w:pos="284"/>
        </w:tabs>
        <w:spacing w:after="0" w:line="276" w:lineRule="auto"/>
        <w:ind w:left="284" w:firstLine="0"/>
        <w:rPr>
          <w:b/>
          <w:lang w:val="es-MX"/>
        </w:rPr>
      </w:pP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71492D24"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B143E2">
        <w:rPr>
          <w:rFonts w:ascii="Arial" w:hAnsi="Arial" w:cs="Arial"/>
          <w:sz w:val="18"/>
          <w:szCs w:val="18"/>
        </w:rPr>
        <w:t>marzo</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354C4E69"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$2,</w:t>
      </w:r>
      <w:r w:rsidR="00B143E2">
        <w:rPr>
          <w:rFonts w:ascii="Arial" w:hAnsi="Arial" w:cs="Arial"/>
          <w:sz w:val="18"/>
          <w:szCs w:val="18"/>
        </w:rPr>
        <w:t>131</w:t>
      </w:r>
      <w:r>
        <w:rPr>
          <w:rFonts w:ascii="Arial" w:hAnsi="Arial" w:cs="Arial"/>
          <w:sz w:val="18"/>
          <w:szCs w:val="18"/>
        </w:rPr>
        <w:t>,</w:t>
      </w:r>
      <w:r w:rsidR="00B143E2">
        <w:rPr>
          <w:rFonts w:ascii="Arial" w:hAnsi="Arial" w:cs="Arial"/>
          <w:sz w:val="18"/>
          <w:szCs w:val="18"/>
        </w:rPr>
        <w:t>999</w:t>
      </w:r>
      <w:r>
        <w:rPr>
          <w:rFonts w:ascii="Arial" w:hAnsi="Arial" w:cs="Arial"/>
          <w:sz w:val="18"/>
          <w:szCs w:val="18"/>
        </w:rPr>
        <w:t>,</w:t>
      </w:r>
      <w:r w:rsidR="00B143E2">
        <w:rPr>
          <w:rFonts w:ascii="Arial" w:hAnsi="Arial" w:cs="Arial"/>
          <w:sz w:val="18"/>
          <w:szCs w:val="18"/>
        </w:rPr>
        <w:t>436</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B143E2">
        <w:rPr>
          <w:rFonts w:ascii="Arial" w:hAnsi="Arial" w:cs="Arial"/>
          <w:sz w:val="18"/>
          <w:szCs w:val="18"/>
        </w:rPr>
        <w:t>de</w:t>
      </w:r>
      <w:r>
        <w:rPr>
          <w:rFonts w:ascii="Arial" w:hAnsi="Arial" w:cs="Arial"/>
          <w:sz w:val="18"/>
          <w:szCs w:val="18"/>
        </w:rPr>
        <w:t xml:space="preserve">cremento del </w:t>
      </w:r>
      <w:r w:rsidR="00815BB8">
        <w:rPr>
          <w:rFonts w:ascii="Arial" w:hAnsi="Arial" w:cs="Arial"/>
          <w:sz w:val="18"/>
          <w:szCs w:val="18"/>
        </w:rPr>
        <w:t>23</w:t>
      </w:r>
      <w:r>
        <w:rPr>
          <w:rFonts w:ascii="Arial" w:hAnsi="Arial" w:cs="Arial"/>
          <w:sz w:val="18"/>
          <w:szCs w:val="18"/>
        </w:rPr>
        <w:t>% respecto del ejercicio 202</w:t>
      </w:r>
      <w:r w:rsidR="00815BB8">
        <w:rPr>
          <w:rFonts w:ascii="Arial" w:hAnsi="Arial" w:cs="Arial"/>
          <w:sz w:val="18"/>
          <w:szCs w:val="18"/>
        </w:rPr>
        <w:t>3</w:t>
      </w:r>
      <w:r>
        <w:rPr>
          <w:rFonts w:ascii="Arial" w:hAnsi="Arial" w:cs="Arial"/>
          <w:sz w:val="18"/>
          <w:szCs w:val="18"/>
        </w:rPr>
        <w:t>.</w:t>
      </w: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53E11272"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15BB8">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815BB8">
        <w:rPr>
          <w:rFonts w:ascii="Arial" w:hAnsi="Arial" w:cs="Arial"/>
          <w:sz w:val="18"/>
          <w:szCs w:val="18"/>
        </w:rPr>
        <w:t>1</w:t>
      </w:r>
      <w:r w:rsidR="008A4453">
        <w:rPr>
          <w:rFonts w:ascii="Arial" w:hAnsi="Arial" w:cs="Arial"/>
          <w:sz w:val="18"/>
          <w:szCs w:val="18"/>
        </w:rPr>
        <w:t>,</w:t>
      </w:r>
      <w:r w:rsidR="00815BB8">
        <w:rPr>
          <w:rFonts w:ascii="Arial" w:hAnsi="Arial" w:cs="Arial"/>
          <w:sz w:val="18"/>
          <w:szCs w:val="18"/>
        </w:rPr>
        <w:t>600</w:t>
      </w:r>
      <w:r>
        <w:rPr>
          <w:rFonts w:ascii="Arial" w:eastAsia="Times New Roman" w:hAnsi="Arial" w:cs="Arial"/>
          <w:bCs/>
          <w:sz w:val="18"/>
          <w:szCs w:val="18"/>
          <w:lang w:eastAsia="es-MX"/>
        </w:rPr>
        <w:t>,</w:t>
      </w:r>
      <w:r w:rsidR="00815BB8">
        <w:rPr>
          <w:rFonts w:ascii="Arial" w:eastAsia="Times New Roman" w:hAnsi="Arial" w:cs="Arial"/>
          <w:bCs/>
          <w:sz w:val="18"/>
          <w:szCs w:val="18"/>
          <w:lang w:eastAsia="es-MX"/>
        </w:rPr>
        <w:t>035</w:t>
      </w:r>
      <w:r>
        <w:rPr>
          <w:rFonts w:ascii="Arial" w:eastAsia="Times New Roman" w:hAnsi="Arial" w:cs="Arial"/>
          <w:bCs/>
          <w:sz w:val="18"/>
          <w:szCs w:val="18"/>
          <w:lang w:eastAsia="es-MX"/>
        </w:rPr>
        <w:t>,</w:t>
      </w:r>
      <w:r w:rsidR="00815BB8">
        <w:rPr>
          <w:rFonts w:ascii="Arial" w:eastAsia="Times New Roman" w:hAnsi="Arial" w:cs="Arial"/>
          <w:bCs/>
          <w:sz w:val="18"/>
          <w:szCs w:val="18"/>
          <w:lang w:eastAsia="es-MX"/>
        </w:rPr>
        <w:t>327</w:t>
      </w:r>
      <w:r w:rsidR="007156AF">
        <w:rPr>
          <w:rFonts w:ascii="Arial" w:eastAsia="Times New Roman" w:hAnsi="Arial" w:cs="Arial"/>
          <w:bCs/>
          <w:sz w:val="18"/>
          <w:szCs w:val="18"/>
          <w:lang w:eastAsia="es-MX"/>
        </w:rPr>
        <w:t>.</w:t>
      </w:r>
    </w:p>
    <w:p w14:paraId="26152A80" w14:textId="2B893BFE" w:rsidR="00762268" w:rsidRDefault="001B0C81" w:rsidP="001B0C81">
      <w:pPr>
        <w:tabs>
          <w:tab w:val="left" w:pos="7092"/>
        </w:tabs>
        <w:ind w:left="284"/>
        <w:jc w:val="both"/>
        <w:rPr>
          <w:rFonts w:ascii="Arial" w:eastAsia="Times New Roman" w:hAnsi="Arial" w:cs="Arial"/>
          <w:bCs/>
          <w:sz w:val="18"/>
          <w:szCs w:val="18"/>
          <w:lang w:eastAsia="es-MX"/>
        </w:rPr>
      </w:pPr>
      <w:r>
        <w:rPr>
          <w:rFonts w:ascii="Arial" w:eastAsia="Times New Roman" w:hAnsi="Arial" w:cs="Arial"/>
          <w:bCs/>
          <w:sz w:val="18"/>
          <w:szCs w:val="18"/>
          <w:lang w:eastAsia="es-MX"/>
        </w:rPr>
        <w:tab/>
      </w: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3CC743EC"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15BB8">
        <w:rPr>
          <w:lang w:val="es-MX"/>
        </w:rPr>
        <w:t>919</w:t>
      </w:r>
      <w:r w:rsidR="00AC2CB6">
        <w:rPr>
          <w:lang w:val="es-MX"/>
        </w:rPr>
        <w:t>,</w:t>
      </w:r>
      <w:r w:rsidR="00815BB8">
        <w:rPr>
          <w:lang w:val="es-MX"/>
        </w:rPr>
        <w:t>144</w:t>
      </w:r>
      <w:r w:rsidR="00AC2CB6">
        <w:rPr>
          <w:lang w:val="es-MX"/>
        </w:rPr>
        <w:t>,</w:t>
      </w:r>
      <w:r w:rsidR="00815BB8">
        <w:rPr>
          <w:lang w:val="es-MX"/>
        </w:rPr>
        <w:t>220</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9FD797E" w:rsidR="005C02A4" w:rsidRDefault="008D7129" w:rsidP="005F52B3">
      <w:pPr>
        <w:pStyle w:val="ROMANOS"/>
        <w:tabs>
          <w:tab w:val="clear" w:pos="720"/>
          <w:tab w:val="left" w:pos="284"/>
        </w:tabs>
        <w:spacing w:after="0" w:line="276" w:lineRule="auto"/>
        <w:ind w:left="284" w:firstLine="0"/>
        <w:rPr>
          <w:lang w:val="es-MX"/>
        </w:rPr>
      </w:pPr>
      <w:r>
        <w:rPr>
          <w:lang w:val="es-MX"/>
        </w:rPr>
        <w:lastRenderedPageBreak/>
        <w:t>Son las actividades que constituyen la principal fuente de ingresos de actividades ordinarias, destinadas a pagos a proveedores y empleados, reflejando un importe de $</w:t>
      </w:r>
      <w:r w:rsidR="00815BB8">
        <w:rPr>
          <w:lang w:val="es-MX"/>
        </w:rPr>
        <w:t>1</w:t>
      </w:r>
      <w:r w:rsidR="008F164F">
        <w:rPr>
          <w:lang w:val="es-MX"/>
        </w:rPr>
        <w:t>,</w:t>
      </w:r>
      <w:r w:rsidR="00611984">
        <w:rPr>
          <w:lang w:val="es-MX"/>
        </w:rPr>
        <w:t>5</w:t>
      </w:r>
      <w:r w:rsidR="00815BB8">
        <w:rPr>
          <w:lang w:val="es-MX"/>
        </w:rPr>
        <w:t>98</w:t>
      </w:r>
      <w:r w:rsidR="008F5C9C">
        <w:rPr>
          <w:lang w:val="es-MX"/>
        </w:rPr>
        <w:t>,</w:t>
      </w:r>
      <w:r w:rsidR="00815BB8">
        <w:rPr>
          <w:lang w:val="es-MX"/>
        </w:rPr>
        <w:t>180</w:t>
      </w:r>
      <w:r>
        <w:rPr>
          <w:lang w:val="es-MX"/>
        </w:rPr>
        <w:t>,</w:t>
      </w:r>
      <w:r w:rsidR="00815BB8">
        <w:rPr>
          <w:lang w:val="es-MX"/>
        </w:rPr>
        <w:t>856</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47E5E62A"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815BB8">
        <w:rPr>
          <w:lang w:val="es-MX"/>
        </w:rPr>
        <w:t>marzo</w:t>
      </w:r>
      <w:r>
        <w:rPr>
          <w:lang w:val="es-MX"/>
        </w:rPr>
        <w:t xml:space="preserve"> un importe de </w:t>
      </w:r>
      <w:r w:rsidRPr="004466A7">
        <w:rPr>
          <w:lang w:val="es-MX"/>
        </w:rPr>
        <w:t>$</w:t>
      </w:r>
      <w:r w:rsidR="00815BB8">
        <w:rPr>
          <w:lang w:val="es-MX"/>
        </w:rPr>
        <w:t>0.00.</w:t>
      </w:r>
    </w:p>
    <w:p w14:paraId="75AB3F20" w14:textId="661ADDD6" w:rsidR="00661352" w:rsidRDefault="00661352" w:rsidP="005F52B3">
      <w:pPr>
        <w:pStyle w:val="ROMANOS"/>
        <w:tabs>
          <w:tab w:val="clear" w:pos="720"/>
          <w:tab w:val="left" w:pos="284"/>
        </w:tabs>
        <w:spacing w:after="0" w:line="276" w:lineRule="auto"/>
        <w:ind w:left="284" w:firstLine="0"/>
        <w:rPr>
          <w:b/>
          <w:lang w:val="es-MX"/>
        </w:rPr>
      </w:pPr>
    </w:p>
    <w:p w14:paraId="3B4BFABA" w14:textId="77777777" w:rsidR="009B66AA" w:rsidRDefault="009B66AA"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2C0A119D"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11984">
        <w:rPr>
          <w:lang w:val="es-MX"/>
        </w:rPr>
        <w:t>1</w:t>
      </w:r>
      <w:r w:rsidRPr="00DA18AC">
        <w:rPr>
          <w:lang w:val="es-MX"/>
        </w:rPr>
        <w:t xml:space="preserve"> de </w:t>
      </w:r>
      <w:r w:rsidR="00815BB8">
        <w:rPr>
          <w:lang w:val="es-MX"/>
        </w:rPr>
        <w:t>marzo</w:t>
      </w:r>
      <w:r w:rsidRPr="00DA18AC">
        <w:rPr>
          <w:lang w:val="es-MX"/>
        </w:rPr>
        <w:t xml:space="preserve"> de 20</w:t>
      </w:r>
      <w:r w:rsidR="00466C1E">
        <w:rPr>
          <w:lang w:val="es-MX"/>
        </w:rPr>
        <w:t>2</w:t>
      </w:r>
      <w:r w:rsidR="00815BB8">
        <w:rPr>
          <w:lang w:val="es-MX"/>
        </w:rPr>
        <w:t>4</w:t>
      </w:r>
      <w:r w:rsidRPr="00DA18AC">
        <w:rPr>
          <w:lang w:val="es-MX"/>
        </w:rPr>
        <w:t xml:space="preserve"> de </w:t>
      </w:r>
      <w:r w:rsidR="00815BB8">
        <w:rPr>
          <w:lang w:val="es-MX"/>
        </w:rPr>
        <w:t>-</w:t>
      </w:r>
      <w:r w:rsidRPr="00DA18AC">
        <w:rPr>
          <w:lang w:val="es-MX"/>
        </w:rPr>
        <w:t>$</w:t>
      </w:r>
      <w:r w:rsidR="00815BB8">
        <w:rPr>
          <w:lang w:val="es-MX"/>
        </w:rPr>
        <w:t>679</w:t>
      </w:r>
      <w:r w:rsidR="00A16DA6">
        <w:rPr>
          <w:lang w:val="es-MX"/>
        </w:rPr>
        <w:t>,</w:t>
      </w:r>
      <w:r w:rsidR="00815BB8">
        <w:rPr>
          <w:lang w:val="es-MX"/>
        </w:rPr>
        <w:t>036</w:t>
      </w:r>
      <w:r w:rsidR="00A16DA6">
        <w:rPr>
          <w:lang w:val="es-MX"/>
        </w:rPr>
        <w:t>,</w:t>
      </w:r>
      <w:r w:rsidR="00815BB8">
        <w:rPr>
          <w:lang w:val="es-MX"/>
        </w:rPr>
        <w:t>636</w:t>
      </w:r>
      <w:r w:rsidRPr="00DA18AC">
        <w:rPr>
          <w:lang w:val="es-MX"/>
        </w:rPr>
        <w:t>.</w:t>
      </w:r>
    </w:p>
    <w:p w14:paraId="3A0271CC" w14:textId="64BA8BA7" w:rsidR="009B66AA" w:rsidRDefault="009B66AA"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638C7D2D" w14:textId="77777777" w:rsidR="009B66AA" w:rsidRDefault="009B66AA" w:rsidP="005F52B3">
      <w:pPr>
        <w:pStyle w:val="ROMANOS"/>
        <w:tabs>
          <w:tab w:val="clear" w:pos="720"/>
          <w:tab w:val="left" w:pos="284"/>
        </w:tabs>
        <w:spacing w:after="0" w:line="276" w:lineRule="auto"/>
        <w:ind w:left="284" w:firstLine="0"/>
        <w:rPr>
          <w:lang w:val="es-MX"/>
        </w:rPr>
      </w:pPr>
    </w:p>
    <w:p w14:paraId="0F635CBD" w14:textId="544E49D5" w:rsidR="005C02A4" w:rsidRDefault="005C02A4"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60D5F978"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831,815,803</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67D8EF10"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2,921,821,449</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7705E8F8"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63,227,779</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5655D7A0" w:rsidR="009B66AA" w:rsidRPr="009B66AA" w:rsidRDefault="0033784D"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3,816,865,032</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1E966BE" w14:textId="77777777" w:rsidR="00802877" w:rsidRDefault="00802877" w:rsidP="00C50527">
      <w:pPr>
        <w:pStyle w:val="INCISO"/>
        <w:tabs>
          <w:tab w:val="left" w:pos="284"/>
        </w:tabs>
        <w:spacing w:after="0" w:line="276" w:lineRule="auto"/>
        <w:ind w:left="284" w:firstLine="0"/>
        <w:rPr>
          <w:b/>
          <w:smallCaps/>
        </w:rPr>
      </w:pPr>
    </w:p>
    <w:p w14:paraId="22178E0C" w14:textId="07CDF21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051A48E6"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1DECF779" w:rsidR="009B66AA" w:rsidRPr="00FF5A7D" w:rsidRDefault="000D76D8" w:rsidP="009B66AA">
            <w:pPr>
              <w:spacing w:after="0" w:line="240" w:lineRule="auto"/>
              <w:jc w:val="right"/>
              <w:rPr>
                <w:rFonts w:ascii="Arial" w:eastAsia="Times New Roman" w:hAnsi="Arial" w:cs="Arial"/>
                <w:b/>
                <w:color w:val="000000"/>
                <w:sz w:val="14"/>
                <w:szCs w:val="14"/>
                <w:lang w:eastAsia="es-MX"/>
              </w:rPr>
            </w:pPr>
            <w:r w:rsidRPr="00FF5A7D">
              <w:rPr>
                <w:rFonts w:ascii="Arial" w:eastAsia="Times New Roman" w:hAnsi="Arial" w:cs="Arial"/>
                <w:b/>
                <w:color w:val="000000"/>
                <w:sz w:val="14"/>
                <w:szCs w:val="14"/>
                <w:lang w:eastAsia="es-MX"/>
              </w:rPr>
              <w:t>123,989</w:t>
            </w:r>
            <w:r w:rsidR="009B66AA" w:rsidRPr="00FF5A7D">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03BB97F" w14:textId="77777777" w:rsidR="009B66AA" w:rsidRPr="00FF5A7D" w:rsidRDefault="009B66AA" w:rsidP="009B66AA">
            <w:pPr>
              <w:spacing w:after="0" w:line="240" w:lineRule="auto"/>
              <w:jc w:val="right"/>
              <w:rPr>
                <w:rFonts w:ascii="Arial" w:eastAsia="Times New Roman" w:hAnsi="Arial" w:cs="Arial"/>
                <w:b/>
                <w:color w:val="000000"/>
                <w:sz w:val="14"/>
                <w:szCs w:val="14"/>
                <w:lang w:eastAsia="es-MX"/>
              </w:rPr>
            </w:pPr>
            <w:r w:rsidRPr="00FF5A7D">
              <w:rPr>
                <w:rFonts w:ascii="Arial" w:eastAsia="Times New Roman" w:hAnsi="Arial" w:cs="Arial"/>
                <w:b/>
                <w:color w:val="000000"/>
                <w:sz w:val="14"/>
                <w:szCs w:val="14"/>
                <w:lang w:eastAsia="es-MX"/>
              </w:rPr>
              <w:t>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6A278780" w:rsidR="009B66AA" w:rsidRPr="00450621" w:rsidRDefault="000D76D8"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49,527</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7CDFAF27" w14:textId="342C291E" w:rsidR="009B66AA" w:rsidRPr="00450621" w:rsidRDefault="00FF5A7D"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66,462</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3D39B1B6"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7,999</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083788" w:rsidRDefault="009B66AA" w:rsidP="009B66AA">
            <w:pPr>
              <w:spacing w:after="0" w:line="240" w:lineRule="auto"/>
              <w:rPr>
                <w:rFonts w:ascii="Arial" w:eastAsia="Times New Roman" w:hAnsi="Arial" w:cs="Arial"/>
                <w:b/>
                <w:color w:val="000000"/>
                <w:sz w:val="14"/>
                <w:szCs w:val="14"/>
                <w:lang w:eastAsia="es-MX"/>
              </w:rPr>
            </w:pPr>
            <w:r w:rsidRPr="00083788">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27FF69F9" w:rsidR="009B66AA" w:rsidRPr="00450621" w:rsidRDefault="00FF5A7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123,989</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1A9E5822"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3276EF35" w14:textId="117E0F9E"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450BB3EB"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6D0221B9"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60DF41BC" w:rsidR="009B66AA" w:rsidRPr="00450621"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1,598,180,856</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66CCEB7B" w:rsidR="009B66AA" w:rsidRPr="00450621"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1,1598,180,856</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76E3C258" w14:textId="77777777" w:rsidR="009B66AA" w:rsidRDefault="009B66AA"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4371934A" w:rsidR="006942ED" w:rsidRPr="006942ED" w:rsidRDefault="006942ED" w:rsidP="006942ED">
      <w:pPr>
        <w:rPr>
          <w:lang w:eastAsia="es-ES"/>
        </w:rPr>
      </w:pPr>
    </w:p>
    <w:p w14:paraId="59649526" w14:textId="772C53D3" w:rsidR="006942ED" w:rsidRPr="006942ED" w:rsidRDefault="00F00364" w:rsidP="006942ED">
      <w:pPr>
        <w:rPr>
          <w:lang w:eastAsia="es-ES"/>
        </w:rPr>
      </w:pPr>
      <w:r>
        <w:rPr>
          <w:noProof/>
          <w:szCs w:val="18"/>
          <w:lang w:val="es-ES" w:eastAsia="es-MX"/>
        </w:rPr>
        <w:lastRenderedPageBreak/>
        <w:object w:dxaOrig="1440" w:dyaOrig="1440" w14:anchorId="7CF3A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45.2pt;margin-top:59.3pt;width:557.5pt;height:491.55pt;z-index:251659264">
            <v:imagedata r:id="rId14" o:title=""/>
            <w10:wrap type="topAndBottom"/>
          </v:shape>
          <o:OLEObject Type="Embed" ProgID="Excel.Sheet.12" ShapeID="_x0000_s2070" DrawAspect="Content" ObjectID="_1775561472" r:id="rId15"/>
        </w:object>
      </w:r>
    </w:p>
    <w:p w14:paraId="02BAADB2" w14:textId="77777777" w:rsidR="002A62AF" w:rsidRDefault="002A62AF" w:rsidP="006942ED">
      <w:pPr>
        <w:ind w:firstLine="708"/>
        <w:rPr>
          <w:lang w:eastAsia="es-ES"/>
        </w:rPr>
      </w:pPr>
    </w:p>
    <w:p w14:paraId="4EA645CD" w14:textId="77777777" w:rsidR="002C55F6" w:rsidRDefault="00F00364"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45.6pt;margin-top:9.7pt;width:560.45pt;height:625.9pt;z-index:251660288">
            <v:imagedata r:id="rId16" o:title=""/>
            <w10:wrap type="topAndBottom"/>
          </v:shape>
          <o:OLEObject Type="Embed" ProgID="Excel.Sheet.12" ShapeID="_x0000_s2071" DrawAspect="Content" ObjectID="_1775561473" r:id="rId17"/>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D12DF0A"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13AA1">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p w14:paraId="059E042C" w14:textId="77777777" w:rsidR="00420656" w:rsidRDefault="00420656" w:rsidP="00420656">
      <w:pPr>
        <w:spacing w:after="0"/>
        <w:jc w:val="center"/>
        <w:rPr>
          <w:rFonts w:ascii="Arial" w:hAnsi="Arial" w:cs="Arial"/>
          <w:sz w:val="18"/>
          <w:szCs w:val="18"/>
        </w:rPr>
      </w:pPr>
    </w:p>
    <w:p w14:paraId="09CF0282" w14:textId="77777777" w:rsidR="00420656" w:rsidRDefault="00420656" w:rsidP="00420656">
      <w:pPr>
        <w:spacing w:after="0"/>
        <w:jc w:val="center"/>
        <w:rPr>
          <w:rFonts w:ascii="Arial" w:hAnsi="Arial" w:cs="Arial"/>
          <w:sz w:val="18"/>
          <w:szCs w:val="18"/>
        </w:rPr>
      </w:pPr>
    </w:p>
    <w:p w14:paraId="2B19A75A" w14:textId="77777777" w:rsidR="00420656" w:rsidRDefault="00420656" w:rsidP="00420656">
      <w:pPr>
        <w:spacing w:after="0"/>
        <w:jc w:val="center"/>
        <w:rPr>
          <w:rFonts w:ascii="Arial" w:hAnsi="Arial" w:cs="Arial"/>
          <w:sz w:val="18"/>
          <w:szCs w:val="18"/>
        </w:rPr>
      </w:pPr>
    </w:p>
    <w:p w14:paraId="67FBE95D" w14:textId="77777777" w:rsidR="00420656" w:rsidRDefault="00420656" w:rsidP="00420656">
      <w:pPr>
        <w:spacing w:after="0"/>
        <w:jc w:val="center"/>
        <w:rPr>
          <w:rFonts w:ascii="Arial" w:hAnsi="Arial" w:cs="Arial"/>
          <w:sz w:val="18"/>
          <w:szCs w:val="18"/>
        </w:rPr>
      </w:pP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sectPr w:rsidR="0070431B" w:rsidSect="00C53D9A">
      <w:headerReference w:type="even" r:id="rId18"/>
      <w:headerReference w:type="default" r:id="rId19"/>
      <w:footerReference w:type="even" r:id="rId20"/>
      <w:footerReference w:type="default" r:id="rId21"/>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D2202" w14:textId="77777777" w:rsidR="00C53D9A" w:rsidRDefault="00C53D9A" w:rsidP="00EA5418">
      <w:pPr>
        <w:spacing w:after="0" w:line="240" w:lineRule="auto"/>
      </w:pPr>
      <w:r>
        <w:separator/>
      </w:r>
    </w:p>
  </w:endnote>
  <w:endnote w:type="continuationSeparator" w:id="0">
    <w:p w14:paraId="0EF66A9D" w14:textId="77777777" w:rsidR="00C53D9A" w:rsidRDefault="00C53D9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74A796A3" w:rsidR="009B66AA" w:rsidRPr="004E3EA4" w:rsidRDefault="009B66AA"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5671C" w:rsidRPr="0035671C">
          <w:rPr>
            <w:rFonts w:ascii="Arial" w:hAnsi="Arial" w:cs="Arial"/>
            <w:noProof/>
            <w:sz w:val="20"/>
            <w:lang w:val="es-ES"/>
          </w:rPr>
          <w:t>42</w:t>
        </w:r>
        <w:r w:rsidRPr="004E3EA4">
          <w:rPr>
            <w:rFonts w:ascii="Arial" w:hAnsi="Arial" w:cs="Arial"/>
            <w:sz w:val="20"/>
          </w:rPr>
          <w:fldChar w:fldCharType="end"/>
        </w:r>
      </w:sdtContent>
    </w:sdt>
  </w:p>
  <w:p w14:paraId="62447935" w14:textId="77777777" w:rsidR="009B66AA" w:rsidRDefault="009B66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3DA142CC" w:rsidR="009B66AA" w:rsidRPr="003527CD" w:rsidRDefault="009B66AA"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5671C" w:rsidRPr="0035671C">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C3C52" w14:textId="77777777" w:rsidR="00C53D9A" w:rsidRDefault="00C53D9A" w:rsidP="00EA5418">
      <w:pPr>
        <w:spacing w:after="0" w:line="240" w:lineRule="auto"/>
      </w:pPr>
      <w:r>
        <w:separator/>
      </w:r>
    </w:p>
  </w:footnote>
  <w:footnote w:type="continuationSeparator" w:id="0">
    <w:p w14:paraId="2531A01F" w14:textId="77777777" w:rsidR="00C53D9A" w:rsidRDefault="00C53D9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9B66AA" w:rsidRDefault="009B66AA"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9B66AA" w:rsidRDefault="009B66A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9B66AA" w:rsidRDefault="009B66A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9B66AA" w:rsidRPr="00DE4269" w:rsidRDefault="009B66A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9B66AA" w:rsidRDefault="009B66A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9B66AA" w:rsidRDefault="009B66A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9B66AA" w:rsidRPr="00DE4269" w:rsidRDefault="009B66A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9B66AA" w:rsidRPr="003527CD" w:rsidRDefault="009B66AA"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74741912">
    <w:abstractNumId w:val="6"/>
  </w:num>
  <w:num w:numId="2" w16cid:durableId="2115397913">
    <w:abstractNumId w:val="0"/>
  </w:num>
  <w:num w:numId="3" w16cid:durableId="748424606">
    <w:abstractNumId w:val="2"/>
  </w:num>
  <w:num w:numId="4" w16cid:durableId="6950806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0577125">
    <w:abstractNumId w:val="4"/>
  </w:num>
  <w:num w:numId="6" w16cid:durableId="436484245">
    <w:abstractNumId w:val="1"/>
  </w:num>
  <w:num w:numId="7" w16cid:durableId="1931112892">
    <w:abstractNumId w:val="5"/>
  </w:num>
  <w:num w:numId="8" w16cid:durableId="14470380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95D"/>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6E95"/>
    <w:rsid w:val="000C7FBB"/>
    <w:rsid w:val="000D01E9"/>
    <w:rsid w:val="000D0EE3"/>
    <w:rsid w:val="000D4D45"/>
    <w:rsid w:val="000D553D"/>
    <w:rsid w:val="000D76D8"/>
    <w:rsid w:val="000E029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1E5B"/>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671C"/>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17051"/>
    <w:rsid w:val="00420208"/>
    <w:rsid w:val="00420656"/>
    <w:rsid w:val="004213BC"/>
    <w:rsid w:val="00424251"/>
    <w:rsid w:val="004306DA"/>
    <w:rsid w:val="004311BE"/>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2592"/>
    <w:rsid w:val="00463B0D"/>
    <w:rsid w:val="0046425D"/>
    <w:rsid w:val="00464409"/>
    <w:rsid w:val="004644D4"/>
    <w:rsid w:val="004649FD"/>
    <w:rsid w:val="00466C1E"/>
    <w:rsid w:val="0047083F"/>
    <w:rsid w:val="004714CF"/>
    <w:rsid w:val="00471984"/>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F16"/>
    <w:rsid w:val="004C5E7B"/>
    <w:rsid w:val="004D30E1"/>
    <w:rsid w:val="004D3E91"/>
    <w:rsid w:val="004D41B8"/>
    <w:rsid w:val="004D5BEA"/>
    <w:rsid w:val="004D6FA0"/>
    <w:rsid w:val="004E0191"/>
    <w:rsid w:val="004E283B"/>
    <w:rsid w:val="004E2DD2"/>
    <w:rsid w:val="004E3EA4"/>
    <w:rsid w:val="004E4A13"/>
    <w:rsid w:val="004E6076"/>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1457"/>
    <w:rsid w:val="005D296A"/>
    <w:rsid w:val="005D2A4E"/>
    <w:rsid w:val="005D2D11"/>
    <w:rsid w:val="005D3D25"/>
    <w:rsid w:val="005D5223"/>
    <w:rsid w:val="005D568E"/>
    <w:rsid w:val="005D67E1"/>
    <w:rsid w:val="005E07B4"/>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C5DFE"/>
    <w:rsid w:val="006C7E6F"/>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1158"/>
    <w:rsid w:val="00753BE8"/>
    <w:rsid w:val="00754388"/>
    <w:rsid w:val="00755CE2"/>
    <w:rsid w:val="00757C3E"/>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0F6"/>
    <w:rsid w:val="008624D8"/>
    <w:rsid w:val="008630BA"/>
    <w:rsid w:val="0086433A"/>
    <w:rsid w:val="008643A9"/>
    <w:rsid w:val="00864C50"/>
    <w:rsid w:val="00864FE6"/>
    <w:rsid w:val="008659FD"/>
    <w:rsid w:val="00866F4E"/>
    <w:rsid w:val="00870F4E"/>
    <w:rsid w:val="00872311"/>
    <w:rsid w:val="00872C30"/>
    <w:rsid w:val="008742BD"/>
    <w:rsid w:val="00874341"/>
    <w:rsid w:val="0087478F"/>
    <w:rsid w:val="00876082"/>
    <w:rsid w:val="0087691B"/>
    <w:rsid w:val="008805C8"/>
    <w:rsid w:val="00881BEF"/>
    <w:rsid w:val="008838EF"/>
    <w:rsid w:val="00883D58"/>
    <w:rsid w:val="00885671"/>
    <w:rsid w:val="00885AD1"/>
    <w:rsid w:val="0089054E"/>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11E3"/>
    <w:rsid w:val="009B20EA"/>
    <w:rsid w:val="009B2C65"/>
    <w:rsid w:val="009B49CD"/>
    <w:rsid w:val="009B515F"/>
    <w:rsid w:val="009B5552"/>
    <w:rsid w:val="009B64AA"/>
    <w:rsid w:val="009B66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0B74"/>
    <w:rsid w:val="00A74179"/>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3E2"/>
    <w:rsid w:val="00B146E2"/>
    <w:rsid w:val="00B14AB7"/>
    <w:rsid w:val="00B15C1F"/>
    <w:rsid w:val="00B22704"/>
    <w:rsid w:val="00B22AC4"/>
    <w:rsid w:val="00B23F18"/>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605D"/>
    <w:rsid w:val="00B67BC6"/>
    <w:rsid w:val="00B73EB9"/>
    <w:rsid w:val="00B808C4"/>
    <w:rsid w:val="00B818B2"/>
    <w:rsid w:val="00B81C74"/>
    <w:rsid w:val="00B82BF9"/>
    <w:rsid w:val="00B83E59"/>
    <w:rsid w:val="00B849EE"/>
    <w:rsid w:val="00B84D02"/>
    <w:rsid w:val="00B850E5"/>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3317"/>
    <w:rsid w:val="00C0654D"/>
    <w:rsid w:val="00C06709"/>
    <w:rsid w:val="00C1028E"/>
    <w:rsid w:val="00C105A6"/>
    <w:rsid w:val="00C10C63"/>
    <w:rsid w:val="00C1279C"/>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D9A"/>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4BE"/>
    <w:rsid w:val="00C90A40"/>
    <w:rsid w:val="00C91C5A"/>
    <w:rsid w:val="00C92668"/>
    <w:rsid w:val="00C95974"/>
    <w:rsid w:val="00C97083"/>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0DC7"/>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9BD"/>
    <w:rsid w:val="00EF5CC7"/>
    <w:rsid w:val="00EF62F8"/>
    <w:rsid w:val="00EF7710"/>
    <w:rsid w:val="00F00364"/>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99"/>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8423-93BA-4161-8A8A-FF58493C1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19713</Words>
  <Characters>108427</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cp:lastModifiedBy>
  <cp:revision>3</cp:revision>
  <cp:lastPrinted>2023-04-14T18:47:00Z</cp:lastPrinted>
  <dcterms:created xsi:type="dcterms:W3CDTF">2024-04-25T20:42:00Z</dcterms:created>
  <dcterms:modified xsi:type="dcterms:W3CDTF">2024-04-25T20:45:00Z</dcterms:modified>
</cp:coreProperties>
</file>