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DF5" w:rsidRDefault="00A96DF5" w:rsidP="00336610">
      <w:pPr>
        <w:rPr>
          <w:sz w:val="2"/>
        </w:rPr>
      </w:pPr>
    </w:p>
    <w:p w:rsidR="002F39E9" w:rsidRPr="002F39E9" w:rsidRDefault="00A96DF5" w:rsidP="00336610">
      <w:pPr>
        <w:rPr>
          <w:sz w:val="2"/>
        </w:rPr>
      </w:pPr>
      <w:r w:rsidRPr="00A96DF5">
        <w:rPr>
          <w:noProof/>
          <w:lang w:eastAsia="es-MX"/>
        </w:rPr>
        <w:drawing>
          <wp:inline distT="0" distB="0" distL="0" distR="0" wp14:anchorId="04C8CC15" wp14:editId="2649E658">
            <wp:extent cx="5834262" cy="85725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5847" cy="8574829"/>
                    </a:xfrm>
                    <a:prstGeom prst="rect">
                      <a:avLst/>
                    </a:prstGeom>
                    <a:noFill/>
                    <a:ln>
                      <a:noFill/>
                    </a:ln>
                  </pic:spPr>
                </pic:pic>
              </a:graphicData>
            </a:graphic>
          </wp:inline>
        </w:drawing>
      </w:r>
    </w:p>
    <w:p w:rsidR="001A543A" w:rsidRDefault="001A543A" w:rsidP="00336610"/>
    <w:p w:rsidR="00A96DF5" w:rsidRDefault="00A96DF5" w:rsidP="009425D6">
      <w:pPr>
        <w:jc w:val="center"/>
      </w:pPr>
    </w:p>
    <w:p w:rsidR="002F39E9" w:rsidRDefault="00A96DF5" w:rsidP="009D3DE7">
      <w:pPr>
        <w:ind w:left="-851"/>
        <w:jc w:val="center"/>
      </w:pPr>
      <w:r w:rsidRPr="00A96DF5">
        <w:rPr>
          <w:noProof/>
          <w:lang w:eastAsia="es-MX"/>
        </w:rPr>
        <w:drawing>
          <wp:inline distT="0" distB="0" distL="0" distR="0">
            <wp:extent cx="7117747" cy="6191250"/>
            <wp:effectExtent l="0" t="0" r="698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3269" cy="6196053"/>
                    </a:xfrm>
                    <a:prstGeom prst="rect">
                      <a:avLst/>
                    </a:prstGeom>
                    <a:noFill/>
                    <a:ln>
                      <a:noFill/>
                    </a:ln>
                  </pic:spPr>
                </pic:pic>
              </a:graphicData>
            </a:graphic>
          </wp:inline>
        </w:drawing>
      </w:r>
    </w:p>
    <w:p w:rsidR="001A543A" w:rsidRDefault="00CC073E" w:rsidP="002F39E9">
      <w:pPr>
        <w:ind w:left="-993"/>
        <w:jc w:val="center"/>
      </w:pPr>
      <w:r>
        <w:t xml:space="preserve">   </w:t>
      </w:r>
      <w:r w:rsidR="00C7446E">
        <w:t xml:space="preserve">  </w:t>
      </w:r>
    </w:p>
    <w:p w:rsidR="00657057" w:rsidRDefault="00657057" w:rsidP="009425D6">
      <w:pPr>
        <w:jc w:val="center"/>
      </w:pPr>
    </w:p>
    <w:p w:rsidR="001A543A" w:rsidRDefault="001A543A" w:rsidP="009425D6">
      <w:pPr>
        <w:jc w:val="center"/>
      </w:pPr>
    </w:p>
    <w:p w:rsidR="009425D6" w:rsidRDefault="009425D6" w:rsidP="009425D6">
      <w:pPr>
        <w:jc w:val="center"/>
      </w:pPr>
    </w:p>
    <w:p w:rsidR="002F39E9" w:rsidRDefault="002F39E9" w:rsidP="002F39E9">
      <w:pPr>
        <w:rPr>
          <w:sz w:val="20"/>
        </w:rPr>
      </w:pPr>
    </w:p>
    <w:p w:rsidR="002F39E9" w:rsidRPr="002F39E9" w:rsidRDefault="002F39E9" w:rsidP="002F39E9">
      <w:pPr>
        <w:rPr>
          <w:sz w:val="2"/>
        </w:rPr>
      </w:pPr>
    </w:p>
    <w:p w:rsidR="00A96DF5" w:rsidRPr="00A96DF5" w:rsidRDefault="00A96DF5" w:rsidP="009425D6">
      <w:pPr>
        <w:jc w:val="center"/>
        <w:rPr>
          <w:sz w:val="6"/>
        </w:rPr>
      </w:pPr>
    </w:p>
    <w:p w:rsidR="00803059" w:rsidRDefault="00A96DF5" w:rsidP="009425D6">
      <w:pPr>
        <w:jc w:val="center"/>
      </w:pPr>
      <w:r w:rsidRPr="00A96DF5">
        <w:rPr>
          <w:noProof/>
          <w:lang w:eastAsia="es-MX"/>
        </w:rPr>
        <w:drawing>
          <wp:inline distT="0" distB="0" distL="0" distR="0">
            <wp:extent cx="5433114" cy="8609817"/>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2052" cy="8623981"/>
                    </a:xfrm>
                    <a:prstGeom prst="rect">
                      <a:avLst/>
                    </a:prstGeom>
                    <a:noFill/>
                    <a:ln>
                      <a:noFill/>
                    </a:ln>
                  </pic:spPr>
                </pic:pic>
              </a:graphicData>
            </a:graphic>
          </wp:inline>
        </w:drawing>
      </w:r>
    </w:p>
    <w:p w:rsidR="001A543A" w:rsidRDefault="001A543A" w:rsidP="009425D6">
      <w:pPr>
        <w:jc w:val="center"/>
      </w:pPr>
    </w:p>
    <w:p w:rsidR="005C36BD" w:rsidRDefault="005C36BD" w:rsidP="00A96DF5"/>
    <w:p w:rsidR="005C36BD" w:rsidRDefault="00A96DF5" w:rsidP="00051A33">
      <w:pPr>
        <w:ind w:left="-851"/>
        <w:jc w:val="center"/>
      </w:pPr>
      <w:r w:rsidRPr="00A96DF5">
        <w:rPr>
          <w:noProof/>
          <w:lang w:eastAsia="es-MX"/>
        </w:rPr>
        <w:drawing>
          <wp:inline distT="0" distB="0" distL="0" distR="0">
            <wp:extent cx="7128373" cy="479107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3594" cy="4794584"/>
                    </a:xfrm>
                    <a:prstGeom prst="rect">
                      <a:avLst/>
                    </a:prstGeom>
                    <a:noFill/>
                    <a:ln>
                      <a:noFill/>
                    </a:ln>
                  </pic:spPr>
                </pic:pic>
              </a:graphicData>
            </a:graphic>
          </wp:inline>
        </w:drawing>
      </w:r>
    </w:p>
    <w:p w:rsidR="001A543A" w:rsidRDefault="001A543A" w:rsidP="009425D6">
      <w:pPr>
        <w:jc w:val="center"/>
      </w:pPr>
    </w:p>
    <w:p w:rsidR="001A543A" w:rsidRDefault="001A543A" w:rsidP="009425D6">
      <w:pPr>
        <w:jc w:val="center"/>
      </w:pPr>
    </w:p>
    <w:p w:rsidR="001A543A" w:rsidRDefault="001A543A" w:rsidP="009425D6">
      <w:pPr>
        <w:jc w:val="center"/>
      </w:pPr>
    </w:p>
    <w:p w:rsidR="005C36BD" w:rsidRDefault="005C36BD" w:rsidP="009425D6">
      <w:pPr>
        <w:jc w:val="center"/>
      </w:pPr>
    </w:p>
    <w:p w:rsidR="005C36BD" w:rsidRDefault="005C36BD" w:rsidP="009425D6">
      <w:pPr>
        <w:jc w:val="center"/>
      </w:pPr>
    </w:p>
    <w:p w:rsidR="005C36BD" w:rsidRDefault="005C36BD" w:rsidP="009425D6">
      <w:pPr>
        <w:jc w:val="center"/>
      </w:pPr>
    </w:p>
    <w:p w:rsidR="005C36BD" w:rsidRDefault="005C36BD" w:rsidP="009425D6">
      <w:pPr>
        <w:jc w:val="center"/>
      </w:pPr>
    </w:p>
    <w:p w:rsidR="005C36BD" w:rsidRDefault="005C36BD" w:rsidP="009425D6">
      <w:pPr>
        <w:jc w:val="center"/>
      </w:pPr>
    </w:p>
    <w:p w:rsidR="001A543A" w:rsidRDefault="001A543A" w:rsidP="009425D6">
      <w:pPr>
        <w:jc w:val="center"/>
      </w:pPr>
    </w:p>
    <w:p w:rsidR="001A543A" w:rsidRDefault="001A543A" w:rsidP="00051A33"/>
    <w:p w:rsidR="001A543A" w:rsidRDefault="001A543A" w:rsidP="00051A33">
      <w:pPr>
        <w:ind w:left="-709"/>
        <w:jc w:val="center"/>
        <w:rPr>
          <w:noProof/>
          <w:lang w:eastAsia="es-MX"/>
        </w:rPr>
      </w:pPr>
    </w:p>
    <w:p w:rsidR="00A96DF5" w:rsidRDefault="00A96DF5" w:rsidP="00051A33">
      <w:pPr>
        <w:ind w:left="-709"/>
        <w:jc w:val="center"/>
      </w:pPr>
      <w:r w:rsidRPr="00A96DF5">
        <w:rPr>
          <w:noProof/>
          <w:lang w:eastAsia="es-MX"/>
        </w:rPr>
        <w:drawing>
          <wp:inline distT="0" distB="0" distL="0" distR="0">
            <wp:extent cx="6981825" cy="6558926"/>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86567" cy="6563381"/>
                    </a:xfrm>
                    <a:prstGeom prst="rect">
                      <a:avLst/>
                    </a:prstGeom>
                    <a:noFill/>
                    <a:ln>
                      <a:noFill/>
                    </a:ln>
                  </pic:spPr>
                </pic:pic>
              </a:graphicData>
            </a:graphic>
          </wp:inline>
        </w:drawing>
      </w:r>
    </w:p>
    <w:p w:rsidR="005C36BD" w:rsidRDefault="005C36BD" w:rsidP="009425D6">
      <w:pPr>
        <w:jc w:val="center"/>
      </w:pPr>
    </w:p>
    <w:p w:rsidR="005C36BD" w:rsidRDefault="005C36BD" w:rsidP="009425D6">
      <w:pPr>
        <w:jc w:val="center"/>
      </w:pPr>
    </w:p>
    <w:p w:rsidR="001A543A" w:rsidRDefault="001A543A" w:rsidP="009425D6">
      <w:pPr>
        <w:jc w:val="center"/>
      </w:pPr>
    </w:p>
    <w:p w:rsidR="001A543A" w:rsidRDefault="001A543A" w:rsidP="009425D6">
      <w:pPr>
        <w:jc w:val="center"/>
      </w:pPr>
    </w:p>
    <w:p w:rsidR="001A543A" w:rsidRDefault="001A543A" w:rsidP="009425D6">
      <w:pPr>
        <w:jc w:val="center"/>
      </w:pPr>
    </w:p>
    <w:p w:rsidR="001A543A" w:rsidRDefault="001A543A" w:rsidP="009425D6">
      <w:pPr>
        <w:jc w:val="center"/>
      </w:pPr>
    </w:p>
    <w:p w:rsidR="001A543A" w:rsidRDefault="001A543A" w:rsidP="00051A33"/>
    <w:p w:rsidR="00A96DF5" w:rsidRDefault="00A96DF5" w:rsidP="00051A33"/>
    <w:p w:rsidR="001A543A" w:rsidRDefault="00A96DF5" w:rsidP="00051A33">
      <w:pPr>
        <w:ind w:left="-993"/>
        <w:jc w:val="center"/>
      </w:pPr>
      <w:r w:rsidRPr="00A96DF5">
        <w:rPr>
          <w:noProof/>
          <w:lang w:eastAsia="es-MX"/>
        </w:rPr>
        <w:drawing>
          <wp:inline distT="0" distB="0" distL="0" distR="0">
            <wp:extent cx="7233488" cy="6905625"/>
            <wp:effectExtent l="0" t="0" r="571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8491" cy="6910401"/>
                    </a:xfrm>
                    <a:prstGeom prst="rect">
                      <a:avLst/>
                    </a:prstGeom>
                    <a:noFill/>
                    <a:ln>
                      <a:noFill/>
                    </a:ln>
                  </pic:spPr>
                </pic:pic>
              </a:graphicData>
            </a:graphic>
          </wp:inline>
        </w:drawing>
      </w:r>
    </w:p>
    <w:p w:rsidR="005C36BD" w:rsidRDefault="005C36BD" w:rsidP="009425D6">
      <w:pPr>
        <w:jc w:val="center"/>
      </w:pPr>
    </w:p>
    <w:p w:rsidR="005C36BD" w:rsidRDefault="005C36BD" w:rsidP="009425D6">
      <w:pPr>
        <w:jc w:val="center"/>
      </w:pPr>
    </w:p>
    <w:p w:rsidR="00E26F12" w:rsidRDefault="00E26F12" w:rsidP="00A96DF5"/>
    <w:p w:rsidR="00A96DF5" w:rsidRPr="00A96DF5" w:rsidRDefault="00A96DF5" w:rsidP="00051A33">
      <w:pPr>
        <w:rPr>
          <w:noProof/>
          <w:sz w:val="2"/>
          <w:lang w:eastAsia="es-MX"/>
        </w:rPr>
      </w:pPr>
    </w:p>
    <w:p w:rsidR="001A543A" w:rsidRDefault="00A96DF5" w:rsidP="00051A33">
      <w:r w:rsidRPr="00A96DF5">
        <w:rPr>
          <w:noProof/>
          <w:lang w:eastAsia="es-MX"/>
        </w:rPr>
        <w:drawing>
          <wp:inline distT="0" distB="0" distL="0" distR="0">
            <wp:extent cx="6248400" cy="8555502"/>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49547" cy="8557073"/>
                    </a:xfrm>
                    <a:prstGeom prst="rect">
                      <a:avLst/>
                    </a:prstGeom>
                    <a:noFill/>
                    <a:ln>
                      <a:noFill/>
                    </a:ln>
                  </pic:spPr>
                </pic:pic>
              </a:graphicData>
            </a:graphic>
          </wp:inline>
        </w:drawing>
      </w:r>
    </w:p>
    <w:p w:rsidR="00E26F12" w:rsidRDefault="00E26F12" w:rsidP="00667D50"/>
    <w:p w:rsidR="00E26F12" w:rsidRDefault="00E26F12" w:rsidP="00667D50"/>
    <w:p w:rsidR="00786B0E" w:rsidRDefault="00786B0E" w:rsidP="00667D50"/>
    <w:p w:rsidR="00657057" w:rsidRDefault="00657057" w:rsidP="00786B0E">
      <w:pPr>
        <w:jc w:val="center"/>
        <w:rPr>
          <w:rFonts w:ascii="Soberana Sans Light" w:hAnsi="Soberana Sans Light"/>
        </w:rPr>
      </w:pPr>
    </w:p>
    <w:p w:rsidR="00657057" w:rsidRDefault="00657057" w:rsidP="00786B0E">
      <w:pPr>
        <w:jc w:val="center"/>
        <w:rPr>
          <w:rFonts w:ascii="Soberana Sans Light" w:hAnsi="Soberana Sans Light"/>
        </w:rPr>
      </w:pPr>
    </w:p>
    <w:p w:rsidR="00786B0E" w:rsidRPr="00540418" w:rsidRDefault="00786B0E" w:rsidP="00786B0E">
      <w:pPr>
        <w:jc w:val="center"/>
        <w:rPr>
          <w:rFonts w:ascii="Soberana Sans Light" w:hAnsi="Soberana Sans Light"/>
        </w:rPr>
      </w:pPr>
      <w:r w:rsidRPr="00540418">
        <w:rPr>
          <w:rFonts w:ascii="Soberana Sans Light" w:hAnsi="Soberana Sans Light"/>
        </w:rPr>
        <w:t>Informe de Pasivos Contingentes</w:t>
      </w: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r>
        <w:rPr>
          <w:rFonts w:ascii="Arial" w:hAnsi="Arial" w:cs="Arial"/>
          <w:sz w:val="18"/>
          <w:szCs w:val="18"/>
        </w:rPr>
        <w:t>CONTINGENCIAS LABORALES:</w:t>
      </w:r>
    </w:p>
    <w:p w:rsidR="00DD35F3" w:rsidRPr="003A604E" w:rsidRDefault="00DD35F3" w:rsidP="00DD35F3">
      <w:pPr>
        <w:pStyle w:val="Prrafodelista"/>
        <w:numPr>
          <w:ilvl w:val="0"/>
          <w:numId w:val="32"/>
        </w:numPr>
        <w:rPr>
          <w:rFonts w:ascii="Arial" w:hAnsi="Arial" w:cs="Arial"/>
          <w:sz w:val="18"/>
          <w:szCs w:val="18"/>
        </w:rPr>
      </w:pPr>
      <w:r>
        <w:rPr>
          <w:rFonts w:ascii="Arial" w:hAnsi="Arial" w:cs="Arial"/>
          <w:sz w:val="18"/>
          <w:szCs w:val="18"/>
        </w:rPr>
        <w:t>Saldo al 3</w:t>
      </w:r>
      <w:r w:rsidR="000D1B56">
        <w:rPr>
          <w:rFonts w:ascii="Arial" w:hAnsi="Arial" w:cs="Arial"/>
          <w:sz w:val="18"/>
          <w:szCs w:val="18"/>
        </w:rPr>
        <w:t>1 de Marzo</w:t>
      </w:r>
      <w:r w:rsidR="00AB1373">
        <w:rPr>
          <w:rFonts w:ascii="Arial" w:hAnsi="Arial" w:cs="Arial"/>
          <w:sz w:val="18"/>
          <w:szCs w:val="18"/>
        </w:rPr>
        <w:t xml:space="preserve"> </w:t>
      </w:r>
      <w:r w:rsidRPr="003A604E">
        <w:rPr>
          <w:rFonts w:ascii="Arial" w:hAnsi="Arial" w:cs="Arial"/>
          <w:sz w:val="18"/>
          <w:szCs w:val="18"/>
        </w:rPr>
        <w:t>de 20</w:t>
      </w:r>
      <w:r w:rsidR="000D1B56">
        <w:rPr>
          <w:rFonts w:ascii="Arial" w:hAnsi="Arial" w:cs="Arial"/>
          <w:sz w:val="18"/>
          <w:szCs w:val="18"/>
        </w:rPr>
        <w:t>24</w:t>
      </w:r>
      <w:r w:rsidRPr="003A604E">
        <w:rPr>
          <w:rFonts w:ascii="Arial" w:hAnsi="Arial" w:cs="Arial"/>
          <w:sz w:val="18"/>
          <w:szCs w:val="18"/>
        </w:rPr>
        <w:t xml:space="preserve"> $</w:t>
      </w:r>
      <w:r w:rsidR="000D1B56">
        <w:rPr>
          <w:rFonts w:ascii="Arial" w:hAnsi="Arial" w:cs="Arial"/>
          <w:sz w:val="18"/>
          <w:szCs w:val="18"/>
        </w:rPr>
        <w:t>152,144,663.01</w:t>
      </w:r>
      <w:r w:rsidRPr="00814316">
        <w:rPr>
          <w:rFonts w:ascii="Arial" w:hAnsi="Arial" w:cs="Arial"/>
          <w:sz w:val="18"/>
          <w:szCs w:val="18"/>
        </w:rPr>
        <w:t xml:space="preserve"> </w:t>
      </w:r>
      <w:r w:rsidRPr="003A604E">
        <w:rPr>
          <w:rFonts w:ascii="Arial" w:hAnsi="Arial" w:cs="Arial"/>
          <w:sz w:val="18"/>
          <w:szCs w:val="18"/>
        </w:rPr>
        <w:t>(</w:t>
      </w:r>
      <w:r w:rsidR="00AB1373">
        <w:rPr>
          <w:rFonts w:ascii="Arial" w:hAnsi="Arial" w:cs="Arial"/>
          <w:sz w:val="18"/>
          <w:szCs w:val="18"/>
        </w:rPr>
        <w:t>C</w:t>
      </w:r>
      <w:r>
        <w:rPr>
          <w:rFonts w:ascii="Arial" w:hAnsi="Arial" w:cs="Arial"/>
          <w:sz w:val="18"/>
          <w:szCs w:val="18"/>
        </w:rPr>
        <w:t xml:space="preserve">iento </w:t>
      </w:r>
      <w:r w:rsidR="000D1B56">
        <w:rPr>
          <w:rFonts w:ascii="Arial" w:hAnsi="Arial" w:cs="Arial"/>
          <w:sz w:val="18"/>
          <w:szCs w:val="18"/>
        </w:rPr>
        <w:t>Cincuenta y Dos Millones Ciento Cuarenta y Cuatro Mil Seiscientos Sesenta y Tres P</w:t>
      </w:r>
      <w:r>
        <w:rPr>
          <w:rFonts w:ascii="Arial" w:hAnsi="Arial" w:cs="Arial"/>
          <w:sz w:val="18"/>
          <w:szCs w:val="18"/>
        </w:rPr>
        <w:t>esos</w:t>
      </w:r>
      <w:r w:rsidRPr="003A604E">
        <w:rPr>
          <w:rFonts w:ascii="Arial" w:hAnsi="Arial" w:cs="Arial"/>
          <w:sz w:val="18"/>
          <w:szCs w:val="18"/>
        </w:rPr>
        <w:t xml:space="preserve"> </w:t>
      </w:r>
      <w:r w:rsidR="000D1B56">
        <w:rPr>
          <w:rFonts w:ascii="Arial" w:hAnsi="Arial" w:cs="Arial"/>
          <w:sz w:val="18"/>
          <w:szCs w:val="18"/>
        </w:rPr>
        <w:t>01</w:t>
      </w:r>
      <w:r w:rsidRPr="003A604E">
        <w:rPr>
          <w:rFonts w:ascii="Arial" w:hAnsi="Arial" w:cs="Arial"/>
          <w:sz w:val="18"/>
          <w:szCs w:val="18"/>
        </w:rPr>
        <w:t>/100 M.N.)</w:t>
      </w:r>
    </w:p>
    <w:p w:rsidR="00786B0E" w:rsidRDefault="00786B0E" w:rsidP="00786B0E">
      <w:pPr>
        <w:rPr>
          <w:rFonts w:ascii="Arial" w:hAnsi="Arial" w:cs="Arial"/>
          <w:sz w:val="18"/>
          <w:szCs w:val="18"/>
        </w:rPr>
      </w:pPr>
      <w:r>
        <w:rPr>
          <w:rFonts w:ascii="Arial" w:hAnsi="Arial" w:cs="Arial"/>
          <w:sz w:val="18"/>
          <w:szCs w:val="18"/>
        </w:rPr>
        <w:t>Se integra por:</w:t>
      </w:r>
    </w:p>
    <w:p w:rsidR="00786B0E" w:rsidRDefault="00786B0E" w:rsidP="00786B0E">
      <w:pPr>
        <w:pStyle w:val="Prrafodelista"/>
        <w:numPr>
          <w:ilvl w:val="0"/>
          <w:numId w:val="32"/>
        </w:numPr>
        <w:rPr>
          <w:rFonts w:ascii="Arial" w:hAnsi="Arial" w:cs="Arial"/>
          <w:sz w:val="18"/>
          <w:szCs w:val="18"/>
        </w:rPr>
      </w:pPr>
      <w:r>
        <w:rPr>
          <w:rFonts w:ascii="Arial" w:hAnsi="Arial" w:cs="Arial"/>
          <w:sz w:val="18"/>
          <w:szCs w:val="18"/>
        </w:rPr>
        <w:t>Aportación mensual del 1% que hace la Universidad.</w:t>
      </w:r>
    </w:p>
    <w:p w:rsidR="00786B0E" w:rsidRDefault="00786B0E" w:rsidP="00786B0E">
      <w:pPr>
        <w:pStyle w:val="Prrafodelista"/>
        <w:numPr>
          <w:ilvl w:val="0"/>
          <w:numId w:val="32"/>
        </w:numPr>
        <w:rPr>
          <w:rFonts w:ascii="Arial" w:hAnsi="Arial" w:cs="Arial"/>
          <w:sz w:val="18"/>
          <w:szCs w:val="18"/>
        </w:rPr>
      </w:pPr>
      <w:r>
        <w:rPr>
          <w:rFonts w:ascii="Arial" w:hAnsi="Arial" w:cs="Arial"/>
          <w:sz w:val="18"/>
          <w:szCs w:val="18"/>
        </w:rPr>
        <w:t>Aportación mensual del 2% que hace la Universidad sobre el salario base correspondiente a cada uno de sus afiliados.</w:t>
      </w:r>
    </w:p>
    <w:p w:rsidR="00786B0E" w:rsidRDefault="00786B0E" w:rsidP="00786B0E">
      <w:pPr>
        <w:pStyle w:val="Prrafodelista"/>
        <w:numPr>
          <w:ilvl w:val="0"/>
          <w:numId w:val="32"/>
        </w:numPr>
        <w:rPr>
          <w:rFonts w:ascii="Arial" w:hAnsi="Arial" w:cs="Arial"/>
          <w:sz w:val="18"/>
          <w:szCs w:val="18"/>
        </w:rPr>
      </w:pPr>
      <w:r w:rsidRPr="00F47866">
        <w:rPr>
          <w:rFonts w:ascii="Arial" w:hAnsi="Arial" w:cs="Arial"/>
          <w:sz w:val="18"/>
          <w:szCs w:val="18"/>
        </w:rPr>
        <w:t xml:space="preserve">Aportación mensual del 2% sobre los salarios base de todos los académicos afiliados al </w:t>
      </w:r>
      <w:r>
        <w:rPr>
          <w:rFonts w:ascii="Arial" w:hAnsi="Arial" w:cs="Arial"/>
          <w:sz w:val="18"/>
          <w:szCs w:val="18"/>
        </w:rPr>
        <w:t>STUAT.</w:t>
      </w: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r>
        <w:rPr>
          <w:rFonts w:ascii="Arial" w:hAnsi="Arial" w:cs="Arial"/>
          <w:sz w:val="18"/>
          <w:szCs w:val="18"/>
        </w:rPr>
        <w:t>Los pagos realizados por medio de este fondo son:</w:t>
      </w:r>
    </w:p>
    <w:p w:rsidR="00786B0E" w:rsidRDefault="00786B0E" w:rsidP="00786B0E">
      <w:pPr>
        <w:pStyle w:val="Prrafodelista"/>
        <w:numPr>
          <w:ilvl w:val="0"/>
          <w:numId w:val="33"/>
        </w:numPr>
        <w:rPr>
          <w:rFonts w:ascii="Arial" w:hAnsi="Arial" w:cs="Arial"/>
          <w:sz w:val="18"/>
          <w:szCs w:val="18"/>
        </w:rPr>
      </w:pPr>
      <w:r>
        <w:rPr>
          <w:rFonts w:ascii="Arial" w:hAnsi="Arial" w:cs="Arial"/>
          <w:sz w:val="18"/>
          <w:szCs w:val="18"/>
        </w:rPr>
        <w:t>50% pago de marcha.</w:t>
      </w:r>
    </w:p>
    <w:p w:rsidR="00786B0E" w:rsidRDefault="00786B0E" w:rsidP="00786B0E">
      <w:pPr>
        <w:pStyle w:val="Prrafodelista"/>
        <w:numPr>
          <w:ilvl w:val="0"/>
          <w:numId w:val="33"/>
        </w:numPr>
        <w:rPr>
          <w:rFonts w:ascii="Arial" w:hAnsi="Arial" w:cs="Arial"/>
          <w:sz w:val="18"/>
          <w:szCs w:val="18"/>
        </w:rPr>
      </w:pPr>
      <w:r>
        <w:rPr>
          <w:rFonts w:ascii="Arial" w:hAnsi="Arial" w:cs="Arial"/>
          <w:sz w:val="18"/>
          <w:szCs w:val="18"/>
        </w:rPr>
        <w:t>Aportaciones del trabajador.</w:t>
      </w: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tbl>
      <w:tblPr>
        <w:tblW w:w="9997" w:type="dxa"/>
        <w:jc w:val="center"/>
        <w:tblCellMar>
          <w:left w:w="70" w:type="dxa"/>
          <w:right w:w="70" w:type="dxa"/>
        </w:tblCellMar>
        <w:tblLook w:val="04A0" w:firstRow="1" w:lastRow="0" w:firstColumn="1" w:lastColumn="0" w:noHBand="0" w:noVBand="1"/>
      </w:tblPr>
      <w:tblGrid>
        <w:gridCol w:w="4252"/>
        <w:gridCol w:w="1559"/>
        <w:gridCol w:w="260"/>
        <w:gridCol w:w="3926"/>
      </w:tblGrid>
      <w:tr w:rsidR="00786B0E" w:rsidRPr="002113D5" w:rsidTr="000C72AD">
        <w:trPr>
          <w:trHeight w:val="274"/>
          <w:jc w:val="center"/>
        </w:trPr>
        <w:tc>
          <w:tcPr>
            <w:tcW w:w="4252" w:type="dxa"/>
            <w:tcBorders>
              <w:top w:val="single" w:sz="4" w:space="0" w:color="auto"/>
              <w:left w:val="nil"/>
              <w:bottom w:val="nil"/>
              <w:right w:val="nil"/>
            </w:tcBorders>
            <w:shd w:val="clear" w:color="000000" w:fill="FFFFFF"/>
            <w:noWrap/>
            <w:vAlign w:val="bottom"/>
            <w:hideMark/>
          </w:tcPr>
          <w:p w:rsidR="00786B0E" w:rsidRPr="002113D5" w:rsidRDefault="00786B0E" w:rsidP="00A96DF5">
            <w:pPr>
              <w:spacing w:after="0" w:line="240" w:lineRule="auto"/>
              <w:jc w:val="center"/>
              <w:rPr>
                <w:rFonts w:ascii="Arial" w:eastAsia="Times New Roman" w:hAnsi="Arial" w:cs="Arial"/>
                <w:color w:val="000000"/>
                <w:sz w:val="18"/>
                <w:szCs w:val="18"/>
                <w:lang w:eastAsia="es-MX"/>
              </w:rPr>
            </w:pPr>
            <w:r w:rsidRPr="0064719E">
              <w:rPr>
                <w:rFonts w:ascii="Arial" w:eastAsia="Times New Roman" w:hAnsi="Arial" w:cs="Arial"/>
                <w:color w:val="000000"/>
                <w:sz w:val="18"/>
                <w:szCs w:val="18"/>
                <w:lang w:eastAsia="es-MX"/>
              </w:rPr>
              <w:t xml:space="preserve">Dr. </w:t>
            </w:r>
            <w:r w:rsidR="00B27916">
              <w:rPr>
                <w:rFonts w:ascii="Arial" w:eastAsia="Times New Roman" w:hAnsi="Arial" w:cs="Arial"/>
                <w:color w:val="000000"/>
                <w:sz w:val="18"/>
                <w:szCs w:val="18"/>
                <w:lang w:eastAsia="es-MX"/>
              </w:rPr>
              <w:t xml:space="preserve">Serafín Ortiz </w:t>
            </w:r>
            <w:proofErr w:type="spellStart"/>
            <w:r w:rsidR="00B27916">
              <w:rPr>
                <w:rFonts w:ascii="Arial" w:eastAsia="Times New Roman" w:hAnsi="Arial" w:cs="Arial"/>
                <w:color w:val="000000"/>
                <w:sz w:val="18"/>
                <w:szCs w:val="18"/>
                <w:lang w:eastAsia="es-MX"/>
              </w:rPr>
              <w:t>Ortiz</w:t>
            </w:r>
            <w:proofErr w:type="spellEnd"/>
          </w:p>
        </w:tc>
        <w:tc>
          <w:tcPr>
            <w:tcW w:w="1559" w:type="dxa"/>
            <w:tcBorders>
              <w:top w:val="nil"/>
              <w:left w:val="nil"/>
              <w:bottom w:val="nil"/>
              <w:right w:val="nil"/>
            </w:tcBorders>
            <w:shd w:val="clear" w:color="000000" w:fill="FFFFFF"/>
            <w:noWrap/>
            <w:vAlign w:val="bottom"/>
            <w:hideMark/>
          </w:tcPr>
          <w:p w:rsidR="00786B0E" w:rsidRPr="002113D5" w:rsidRDefault="00786B0E" w:rsidP="00A96DF5">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260" w:type="dxa"/>
            <w:tcBorders>
              <w:top w:val="nil"/>
              <w:left w:val="nil"/>
              <w:bottom w:val="nil"/>
              <w:right w:val="nil"/>
            </w:tcBorders>
            <w:shd w:val="clear" w:color="000000" w:fill="FFFFFF"/>
            <w:noWrap/>
            <w:vAlign w:val="bottom"/>
            <w:hideMark/>
          </w:tcPr>
          <w:p w:rsidR="00786B0E" w:rsidRPr="002113D5" w:rsidRDefault="00786B0E" w:rsidP="00A96DF5">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3926" w:type="dxa"/>
            <w:tcBorders>
              <w:top w:val="single" w:sz="4" w:space="0" w:color="auto"/>
              <w:left w:val="nil"/>
              <w:bottom w:val="nil"/>
              <w:right w:val="nil"/>
            </w:tcBorders>
            <w:shd w:val="clear" w:color="000000" w:fill="FFFFFF"/>
            <w:noWrap/>
            <w:vAlign w:val="bottom"/>
            <w:hideMark/>
          </w:tcPr>
          <w:p w:rsidR="00786B0E" w:rsidRPr="002113D5" w:rsidRDefault="00786B0E" w:rsidP="00A96DF5">
            <w:pPr>
              <w:spacing w:after="0" w:line="240" w:lineRule="auto"/>
              <w:jc w:val="center"/>
              <w:rPr>
                <w:rFonts w:ascii="Arial" w:eastAsia="Times New Roman" w:hAnsi="Arial" w:cs="Arial"/>
                <w:color w:val="000000"/>
                <w:sz w:val="18"/>
                <w:szCs w:val="18"/>
                <w:lang w:eastAsia="es-MX"/>
              </w:rPr>
            </w:pPr>
            <w:r w:rsidRPr="0064719E">
              <w:rPr>
                <w:rFonts w:ascii="Arial" w:eastAsia="Times New Roman" w:hAnsi="Arial" w:cs="Arial"/>
                <w:color w:val="000000"/>
                <w:sz w:val="18"/>
                <w:szCs w:val="18"/>
                <w:lang w:eastAsia="es-MX"/>
              </w:rPr>
              <w:t xml:space="preserve">Lic. </w:t>
            </w:r>
            <w:r w:rsidR="00B27916">
              <w:rPr>
                <w:rFonts w:ascii="Arial" w:eastAsia="Times New Roman" w:hAnsi="Arial" w:cs="Arial"/>
                <w:color w:val="000000"/>
                <w:sz w:val="18"/>
                <w:szCs w:val="18"/>
                <w:lang w:eastAsia="es-MX"/>
              </w:rPr>
              <w:t>Elvia Hernández Escalona</w:t>
            </w:r>
          </w:p>
        </w:tc>
      </w:tr>
      <w:tr w:rsidR="00786B0E" w:rsidRPr="002113D5" w:rsidTr="000C72AD">
        <w:trPr>
          <w:trHeight w:val="274"/>
          <w:jc w:val="center"/>
        </w:trPr>
        <w:tc>
          <w:tcPr>
            <w:tcW w:w="4252" w:type="dxa"/>
            <w:tcBorders>
              <w:top w:val="nil"/>
              <w:left w:val="nil"/>
              <w:bottom w:val="nil"/>
              <w:right w:val="nil"/>
            </w:tcBorders>
            <w:shd w:val="clear" w:color="000000" w:fill="FFFFFF"/>
            <w:hideMark/>
          </w:tcPr>
          <w:p w:rsidR="00786B0E" w:rsidRPr="002113D5" w:rsidRDefault="00786B0E" w:rsidP="00A96DF5">
            <w:pPr>
              <w:spacing w:after="0" w:line="240" w:lineRule="auto"/>
              <w:jc w:val="center"/>
              <w:rPr>
                <w:rFonts w:ascii="Arial" w:eastAsia="Times New Roman" w:hAnsi="Arial" w:cs="Arial"/>
                <w:sz w:val="18"/>
                <w:szCs w:val="18"/>
                <w:lang w:eastAsia="es-MX"/>
              </w:rPr>
            </w:pPr>
            <w:r w:rsidRPr="002113D5">
              <w:rPr>
                <w:rFonts w:ascii="Arial" w:eastAsia="Times New Roman" w:hAnsi="Arial" w:cs="Arial"/>
                <w:sz w:val="18"/>
                <w:szCs w:val="18"/>
                <w:lang w:eastAsia="es-MX"/>
              </w:rPr>
              <w:t>Rector</w:t>
            </w:r>
          </w:p>
        </w:tc>
        <w:tc>
          <w:tcPr>
            <w:tcW w:w="1559" w:type="dxa"/>
            <w:tcBorders>
              <w:top w:val="nil"/>
              <w:left w:val="nil"/>
              <w:bottom w:val="nil"/>
              <w:right w:val="nil"/>
            </w:tcBorders>
            <w:shd w:val="clear" w:color="000000" w:fill="FFFFFF"/>
            <w:noWrap/>
            <w:hideMark/>
          </w:tcPr>
          <w:p w:rsidR="00786B0E" w:rsidRPr="002113D5" w:rsidRDefault="00786B0E" w:rsidP="00A96DF5">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260" w:type="dxa"/>
            <w:tcBorders>
              <w:top w:val="nil"/>
              <w:left w:val="nil"/>
              <w:bottom w:val="nil"/>
              <w:right w:val="nil"/>
            </w:tcBorders>
            <w:shd w:val="clear" w:color="000000" w:fill="FFFFFF"/>
            <w:noWrap/>
            <w:hideMark/>
          </w:tcPr>
          <w:p w:rsidR="00786B0E" w:rsidRPr="002113D5" w:rsidRDefault="00786B0E" w:rsidP="00A96DF5">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3926" w:type="dxa"/>
            <w:tcBorders>
              <w:top w:val="nil"/>
              <w:left w:val="nil"/>
              <w:bottom w:val="nil"/>
              <w:right w:val="nil"/>
            </w:tcBorders>
            <w:shd w:val="clear" w:color="000000" w:fill="FFFFFF"/>
            <w:hideMark/>
          </w:tcPr>
          <w:p w:rsidR="00786B0E" w:rsidRPr="002113D5" w:rsidRDefault="00786B0E" w:rsidP="00A96DF5">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Secretaria Administrativa</w:t>
            </w:r>
          </w:p>
        </w:tc>
      </w:tr>
    </w:tbl>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5C0400" w:rsidRDefault="005C0400" w:rsidP="001241E9">
      <w:pPr>
        <w:rPr>
          <w:rFonts w:ascii="Arial" w:hAnsi="Arial" w:cs="Arial"/>
          <w:b/>
          <w:sz w:val="18"/>
          <w:szCs w:val="18"/>
        </w:rPr>
      </w:pPr>
    </w:p>
    <w:p w:rsidR="00786B0E" w:rsidRPr="00B165B0" w:rsidRDefault="00786B0E" w:rsidP="00786B0E">
      <w:pPr>
        <w:jc w:val="center"/>
        <w:rPr>
          <w:rFonts w:ascii="Arial" w:hAnsi="Arial" w:cs="Arial"/>
          <w:b/>
          <w:sz w:val="18"/>
          <w:szCs w:val="18"/>
        </w:rPr>
      </w:pPr>
      <w:r w:rsidRPr="00B165B0">
        <w:rPr>
          <w:rFonts w:ascii="Arial" w:hAnsi="Arial" w:cs="Arial"/>
          <w:b/>
          <w:sz w:val="18"/>
          <w:szCs w:val="18"/>
        </w:rPr>
        <w:t>NOTAS A LOS ESTADOS FINANCIEROS</w:t>
      </w:r>
    </w:p>
    <w:p w:rsidR="00786B0E" w:rsidRDefault="00786B0E" w:rsidP="00786B0E">
      <w:pPr>
        <w:pStyle w:val="Texto"/>
        <w:spacing w:after="0" w:line="240" w:lineRule="exact"/>
        <w:jc w:val="center"/>
        <w:rPr>
          <w:b/>
          <w:szCs w:val="18"/>
        </w:rPr>
      </w:pPr>
    </w:p>
    <w:p w:rsidR="00786B0E" w:rsidRPr="00B165B0" w:rsidRDefault="00786B0E" w:rsidP="00786B0E">
      <w:pPr>
        <w:pStyle w:val="Texto"/>
        <w:spacing w:after="0" w:line="240" w:lineRule="exact"/>
        <w:jc w:val="center"/>
        <w:rPr>
          <w:szCs w:val="18"/>
        </w:rPr>
      </w:pPr>
      <w:r w:rsidRPr="00B165B0">
        <w:rPr>
          <w:b/>
          <w:szCs w:val="18"/>
        </w:rPr>
        <w:t>a) NOTAS DE DESGLOSE</w:t>
      </w:r>
    </w:p>
    <w:p w:rsidR="00786B0E" w:rsidRPr="00B165B0" w:rsidRDefault="00786B0E" w:rsidP="00786B0E">
      <w:pPr>
        <w:pStyle w:val="Texto"/>
        <w:spacing w:after="0" w:line="240" w:lineRule="exact"/>
        <w:rPr>
          <w:szCs w:val="18"/>
          <w:lang w:val="es-MX"/>
        </w:rPr>
      </w:pPr>
    </w:p>
    <w:p w:rsidR="00786B0E" w:rsidRPr="007614B3" w:rsidRDefault="00786B0E" w:rsidP="00786B0E">
      <w:pPr>
        <w:pStyle w:val="INCISO"/>
        <w:numPr>
          <w:ilvl w:val="0"/>
          <w:numId w:val="35"/>
        </w:numPr>
        <w:tabs>
          <w:tab w:val="left" w:pos="0"/>
        </w:tabs>
        <w:spacing w:after="0" w:line="240" w:lineRule="exact"/>
        <w:ind w:left="709" w:hanging="425"/>
        <w:rPr>
          <w:b/>
          <w:smallCaps/>
        </w:rPr>
      </w:pPr>
      <w:r w:rsidRPr="007614B3">
        <w:rPr>
          <w:b/>
          <w:smallCaps/>
        </w:rPr>
        <w:t>Notas al Estado de Situación Financiera</w:t>
      </w:r>
    </w:p>
    <w:p w:rsidR="00786B0E" w:rsidRDefault="00786B0E" w:rsidP="00786B0E">
      <w:pPr>
        <w:pStyle w:val="INCISO"/>
        <w:spacing w:after="0" w:line="240" w:lineRule="exact"/>
        <w:ind w:left="1008" w:firstLine="0"/>
        <w:rPr>
          <w:b/>
          <w:smallCaps/>
        </w:rPr>
      </w:pPr>
    </w:p>
    <w:p w:rsidR="00786B0E" w:rsidRPr="007614B3" w:rsidRDefault="00786B0E" w:rsidP="00786B0E">
      <w:pPr>
        <w:pStyle w:val="INCISO"/>
        <w:spacing w:after="0" w:line="240" w:lineRule="exact"/>
        <w:ind w:left="1008" w:firstLine="0"/>
        <w:rPr>
          <w:b/>
          <w:smallCaps/>
        </w:rPr>
      </w:pPr>
    </w:p>
    <w:p w:rsidR="00786B0E" w:rsidRPr="007614B3" w:rsidRDefault="00786B0E" w:rsidP="00786B0E">
      <w:pPr>
        <w:pStyle w:val="INCISO"/>
        <w:spacing w:after="0" w:line="240" w:lineRule="exact"/>
        <w:ind w:left="1008" w:firstLine="0"/>
        <w:rPr>
          <w:b/>
          <w:smallCaps/>
        </w:rPr>
      </w:pPr>
      <w:r w:rsidRPr="007614B3">
        <w:rPr>
          <w:b/>
          <w:smallCaps/>
        </w:rPr>
        <w:t>Inversión Financieras</w:t>
      </w:r>
    </w:p>
    <w:p w:rsidR="00786B0E" w:rsidRPr="007614B3" w:rsidRDefault="00786B0E" w:rsidP="00786B0E">
      <w:pPr>
        <w:pStyle w:val="INCISO"/>
        <w:spacing w:after="0" w:line="240" w:lineRule="exact"/>
        <w:ind w:left="1008" w:firstLine="0"/>
        <w:rPr>
          <w:b/>
          <w:smallCaps/>
        </w:rPr>
      </w:pPr>
    </w:p>
    <w:p w:rsidR="00786B0E" w:rsidRPr="007614B3" w:rsidRDefault="00786B0E" w:rsidP="00786B0E">
      <w:pPr>
        <w:ind w:left="709"/>
        <w:jc w:val="both"/>
        <w:rPr>
          <w:rFonts w:ascii="Arial" w:hAnsi="Arial" w:cs="Arial"/>
          <w:sz w:val="18"/>
          <w:szCs w:val="18"/>
        </w:rPr>
      </w:pPr>
      <w:r w:rsidRPr="007614B3">
        <w:rPr>
          <w:rFonts w:ascii="Arial" w:hAnsi="Arial" w:cs="Arial"/>
          <w:sz w:val="18"/>
          <w:szCs w:val="18"/>
        </w:rPr>
        <w:t>El 25 de septiembre de 2002 se firmó el c</w:t>
      </w:r>
      <w:r w:rsidR="007217FD">
        <w:rPr>
          <w:rFonts w:ascii="Arial" w:hAnsi="Arial" w:cs="Arial"/>
          <w:sz w:val="18"/>
          <w:szCs w:val="18"/>
        </w:rPr>
        <w:t>ontrato de fideicomiso 100561-0</w:t>
      </w:r>
      <w:r w:rsidRPr="007614B3">
        <w:rPr>
          <w:rFonts w:ascii="Arial" w:hAnsi="Arial" w:cs="Arial"/>
          <w:sz w:val="18"/>
          <w:szCs w:val="18"/>
        </w:rPr>
        <w:t xml:space="preserve"> irrevocable de inversión y administración, el objeto principal del convenio antes mencionado es establecer las bases conforme a las cuales la Secretaria de Educación Pública apoya a la Institución con recursos públicos federales extraordinarios no </w:t>
      </w:r>
      <w:proofErr w:type="spellStart"/>
      <w:r w:rsidRPr="007614B3">
        <w:rPr>
          <w:rFonts w:ascii="Arial" w:hAnsi="Arial" w:cs="Arial"/>
          <w:sz w:val="18"/>
          <w:szCs w:val="18"/>
        </w:rPr>
        <w:t>regularizables</w:t>
      </w:r>
      <w:proofErr w:type="spellEnd"/>
      <w:r w:rsidRPr="007614B3">
        <w:rPr>
          <w:rFonts w:ascii="Arial" w:hAnsi="Arial" w:cs="Arial"/>
          <w:sz w:val="18"/>
          <w:szCs w:val="18"/>
        </w:rPr>
        <w:t xml:space="preserve"> para la constitución o fortalecimiento.</w:t>
      </w:r>
    </w:p>
    <w:p w:rsidR="00DD35F3" w:rsidRDefault="00DD35F3" w:rsidP="00DD35F3">
      <w:pPr>
        <w:pStyle w:val="ROMANOS"/>
        <w:spacing w:after="0" w:line="240" w:lineRule="exact"/>
        <w:ind w:hanging="11"/>
        <w:rPr>
          <w:rFonts w:eastAsiaTheme="minorHAnsi"/>
          <w:lang w:val="es-MX" w:eastAsia="en-US"/>
        </w:rPr>
      </w:pPr>
      <w:r w:rsidRPr="00640113">
        <w:rPr>
          <w:rFonts w:eastAsiaTheme="minorHAnsi"/>
          <w:lang w:val="es-MX" w:eastAsia="en-US"/>
        </w:rPr>
        <w:t>El saldo al 3</w:t>
      </w:r>
      <w:r w:rsidR="005C0400">
        <w:rPr>
          <w:rFonts w:eastAsiaTheme="minorHAnsi"/>
          <w:lang w:val="es-MX" w:eastAsia="en-US"/>
        </w:rPr>
        <w:t>1 de Marzo</w:t>
      </w:r>
      <w:r w:rsidR="00AB1373">
        <w:rPr>
          <w:rFonts w:eastAsiaTheme="minorHAnsi"/>
          <w:lang w:val="es-MX" w:eastAsia="en-US"/>
        </w:rPr>
        <w:t xml:space="preserve"> </w:t>
      </w:r>
      <w:r w:rsidRPr="00640113">
        <w:rPr>
          <w:rFonts w:eastAsiaTheme="minorHAnsi"/>
          <w:lang w:val="es-MX" w:eastAsia="en-US"/>
        </w:rPr>
        <w:t>de 202</w:t>
      </w:r>
      <w:r w:rsidR="005C0400">
        <w:rPr>
          <w:rFonts w:eastAsiaTheme="minorHAnsi"/>
          <w:lang w:val="es-MX" w:eastAsia="en-US"/>
        </w:rPr>
        <w:t>4</w:t>
      </w:r>
      <w:r w:rsidRPr="00640113">
        <w:rPr>
          <w:rFonts w:eastAsiaTheme="minorHAnsi"/>
          <w:lang w:val="es-MX" w:eastAsia="en-US"/>
        </w:rPr>
        <w:t xml:space="preserve"> es de $ </w:t>
      </w:r>
      <w:r w:rsidR="005C0400">
        <w:rPr>
          <w:rFonts w:eastAsiaTheme="minorHAnsi"/>
          <w:lang w:val="es-MX" w:eastAsia="en-US"/>
        </w:rPr>
        <w:t>189, 982,404.22</w:t>
      </w:r>
      <w:r w:rsidRPr="00814316">
        <w:rPr>
          <w:rFonts w:eastAsiaTheme="minorHAnsi"/>
          <w:lang w:val="es-MX" w:eastAsia="en-US"/>
        </w:rPr>
        <w:t xml:space="preserve"> </w:t>
      </w:r>
      <w:r w:rsidRPr="00640113">
        <w:rPr>
          <w:rFonts w:eastAsiaTheme="minorHAnsi"/>
          <w:lang w:val="es-MX" w:eastAsia="en-US"/>
        </w:rPr>
        <w:t>(</w:t>
      </w:r>
      <w:r w:rsidR="005C0400">
        <w:rPr>
          <w:rFonts w:eastAsiaTheme="minorHAnsi"/>
          <w:lang w:val="es-MX" w:eastAsia="en-US"/>
        </w:rPr>
        <w:t>Ciento Ochenta y Nueve Millones Novecientos Ochenta y Dos Mil Cuatrocientos Cuatro Pesos 22</w:t>
      </w:r>
      <w:r w:rsidRPr="00640113">
        <w:rPr>
          <w:rFonts w:eastAsiaTheme="minorHAnsi"/>
          <w:lang w:val="es-MX" w:eastAsia="en-US"/>
        </w:rPr>
        <w:t>/100 M.N)</w:t>
      </w:r>
    </w:p>
    <w:p w:rsidR="005C0400" w:rsidRDefault="005C0400" w:rsidP="00DD35F3">
      <w:pPr>
        <w:pStyle w:val="ROMANOS"/>
        <w:spacing w:after="0" w:line="240" w:lineRule="exact"/>
        <w:ind w:hanging="11"/>
        <w:rPr>
          <w:rFonts w:eastAsiaTheme="minorHAnsi"/>
          <w:lang w:val="es-MX" w:eastAsia="en-US"/>
        </w:rPr>
      </w:pPr>
    </w:p>
    <w:p w:rsidR="005C0400" w:rsidRDefault="005C0400" w:rsidP="00DD35F3">
      <w:pPr>
        <w:pStyle w:val="ROMANOS"/>
        <w:spacing w:after="0" w:line="240" w:lineRule="exact"/>
        <w:ind w:hanging="11"/>
        <w:rPr>
          <w:rFonts w:eastAsiaTheme="minorHAnsi"/>
          <w:lang w:val="es-MX" w:eastAsia="en-US"/>
        </w:rPr>
      </w:pPr>
    </w:p>
    <w:p w:rsidR="005C0400" w:rsidRDefault="005C0400" w:rsidP="00DD35F3">
      <w:pPr>
        <w:pStyle w:val="ROMANOS"/>
        <w:spacing w:after="0" w:line="240" w:lineRule="exact"/>
        <w:ind w:hanging="11"/>
        <w:rPr>
          <w:rFonts w:eastAsiaTheme="minorHAnsi"/>
          <w:lang w:val="es-MX" w:eastAsia="en-US"/>
        </w:rPr>
      </w:pPr>
    </w:p>
    <w:p w:rsidR="00786B0E" w:rsidRPr="007614B3" w:rsidRDefault="00786B0E" w:rsidP="00786B0E">
      <w:pPr>
        <w:pStyle w:val="ROMANOS"/>
        <w:spacing w:after="0" w:line="240" w:lineRule="exact"/>
        <w:ind w:left="1008" w:firstLine="0"/>
        <w:rPr>
          <w:rFonts w:ascii="Soberana Sans Light" w:hAnsi="Soberana Sans Light"/>
          <w:lang w:val="es-MX"/>
        </w:rPr>
      </w:pPr>
    </w:p>
    <w:p w:rsidR="00786B0E" w:rsidRDefault="00786B0E" w:rsidP="005C0400">
      <w:pPr>
        <w:pStyle w:val="INCISO"/>
        <w:spacing w:after="0" w:line="240" w:lineRule="exact"/>
        <w:ind w:left="360" w:hanging="76"/>
        <w:rPr>
          <w:b/>
          <w:smallCaps/>
        </w:rPr>
      </w:pPr>
      <w:r w:rsidRPr="007614B3">
        <w:rPr>
          <w:b/>
          <w:smallCaps/>
        </w:rPr>
        <w:t>IV)</w:t>
      </w:r>
      <w:r w:rsidRPr="007614B3">
        <w:rPr>
          <w:b/>
          <w:smallCaps/>
        </w:rPr>
        <w:tab/>
        <w:t xml:space="preserve">Notas al Estado de Flujos de Efectivo </w:t>
      </w:r>
    </w:p>
    <w:p w:rsidR="00786B0E" w:rsidRDefault="00786B0E" w:rsidP="00786B0E">
      <w:pPr>
        <w:pStyle w:val="INCISO"/>
        <w:spacing w:after="0" w:line="240" w:lineRule="exact"/>
        <w:ind w:left="360" w:hanging="76"/>
        <w:rPr>
          <w:b/>
          <w:smallCaps/>
        </w:rPr>
      </w:pPr>
    </w:p>
    <w:p w:rsidR="00786B0E" w:rsidRPr="007614B3" w:rsidRDefault="00786B0E" w:rsidP="00786B0E">
      <w:pPr>
        <w:pStyle w:val="ROMANOS"/>
        <w:spacing w:after="0" w:line="240" w:lineRule="exact"/>
        <w:rPr>
          <w:b/>
          <w:lang w:val="es-MX"/>
        </w:rPr>
      </w:pPr>
      <w:r w:rsidRPr="007614B3">
        <w:rPr>
          <w:b/>
          <w:lang w:val="es-MX"/>
        </w:rPr>
        <w:t>Efectivo y equivalentes</w:t>
      </w:r>
    </w:p>
    <w:p w:rsidR="00786B0E" w:rsidRPr="007614B3" w:rsidRDefault="00786B0E" w:rsidP="00786B0E">
      <w:pPr>
        <w:pStyle w:val="ROMANOS"/>
        <w:spacing w:after="0" w:line="240" w:lineRule="exact"/>
        <w:rPr>
          <w:b/>
          <w:lang w:val="es-MX"/>
        </w:rPr>
      </w:pPr>
    </w:p>
    <w:p w:rsidR="00786B0E" w:rsidRDefault="00786B0E" w:rsidP="00786B0E">
      <w:pPr>
        <w:pStyle w:val="ROMANOS"/>
        <w:numPr>
          <w:ilvl w:val="0"/>
          <w:numId w:val="3"/>
        </w:numPr>
        <w:spacing w:after="0" w:line="240" w:lineRule="exact"/>
        <w:ind w:left="644"/>
        <w:rPr>
          <w:lang w:val="es-MX"/>
        </w:rPr>
      </w:pPr>
      <w:r w:rsidRPr="001C36E0">
        <w:rPr>
          <w:lang w:val="es-MX"/>
        </w:rPr>
        <w:t>El análisis de los saldos inicial y final que figuran en la última parte del Estado de Flujo de Efectivo en la cuenta de efectivo y equivalentes es como sigue:</w:t>
      </w:r>
    </w:p>
    <w:p w:rsidR="005C0400" w:rsidRDefault="005C0400" w:rsidP="005C0400">
      <w:pPr>
        <w:pStyle w:val="ROMANOS"/>
        <w:spacing w:after="0" w:line="240" w:lineRule="exact"/>
        <w:ind w:left="0" w:firstLine="0"/>
        <w:rPr>
          <w:lang w:val="es-MX"/>
        </w:rPr>
      </w:pPr>
      <w:r w:rsidRPr="005C0400">
        <w:rPr>
          <w:noProof/>
          <w:lang w:val="es-MX" w:eastAsia="es-MX"/>
        </w:rPr>
        <w:drawing>
          <wp:anchor distT="0" distB="0" distL="114300" distR="114300" simplePos="0" relativeHeight="251658240" behindDoc="0" locked="0" layoutInCell="1" allowOverlap="1">
            <wp:simplePos x="0" y="0"/>
            <wp:positionH relativeFrom="column">
              <wp:posOffset>57150</wp:posOffset>
            </wp:positionH>
            <wp:positionV relativeFrom="paragraph">
              <wp:posOffset>164465</wp:posOffset>
            </wp:positionV>
            <wp:extent cx="5943600" cy="1829435"/>
            <wp:effectExtent l="0" t="0" r="0" b="0"/>
            <wp:wrapThrough wrapText="bothSides">
              <wp:wrapPolygon edited="0">
                <wp:start x="0" y="0"/>
                <wp:lineTo x="0" y="21368"/>
                <wp:lineTo x="21531" y="21368"/>
                <wp:lineTo x="21531" y="0"/>
                <wp:lineTo x="0" y="0"/>
              </wp:wrapPolygon>
            </wp:wrapThrough>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829435"/>
                    </a:xfrm>
                    <a:prstGeom prst="rect">
                      <a:avLst/>
                    </a:prstGeom>
                    <a:noFill/>
                    <a:ln>
                      <a:noFill/>
                    </a:ln>
                  </pic:spPr>
                </pic:pic>
              </a:graphicData>
            </a:graphic>
          </wp:anchor>
        </w:drawing>
      </w:r>
    </w:p>
    <w:p w:rsidR="005C0400" w:rsidRDefault="005C0400" w:rsidP="005C0400">
      <w:pPr>
        <w:pStyle w:val="ROMANOS"/>
        <w:spacing w:after="0" w:line="240" w:lineRule="exact"/>
        <w:ind w:left="0" w:firstLine="0"/>
        <w:rPr>
          <w:lang w:val="es-MX"/>
        </w:rPr>
      </w:pPr>
    </w:p>
    <w:p w:rsidR="00DD35F3" w:rsidRDefault="00DD35F3"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pPr>
    </w:p>
    <w:p w:rsidR="005C0400" w:rsidRDefault="005C0400" w:rsidP="005C0400">
      <w:pPr>
        <w:pStyle w:val="ROMANOS"/>
        <w:spacing w:after="0" w:line="240" w:lineRule="exact"/>
      </w:pPr>
    </w:p>
    <w:p w:rsidR="005C0400" w:rsidRDefault="005C0400" w:rsidP="005C0400">
      <w:pPr>
        <w:pStyle w:val="ROMANOS"/>
        <w:spacing w:after="0" w:line="240" w:lineRule="exact"/>
      </w:pPr>
    </w:p>
    <w:p w:rsidR="005455E1" w:rsidRDefault="00786B0E" w:rsidP="005C0400">
      <w:pPr>
        <w:pStyle w:val="ROMANOS"/>
        <w:numPr>
          <w:ilvl w:val="0"/>
          <w:numId w:val="3"/>
        </w:numPr>
        <w:spacing w:after="0" w:line="240" w:lineRule="exact"/>
        <w:ind w:left="644"/>
      </w:pPr>
      <w:r>
        <w:t xml:space="preserve">Detallar las adquisiciones de bienes muebles e inmuebles con su monto global y, en su caso, el porcentaje de estas adquisiciones que fueron realizadas mediante subsidios de capital del sector central. Adicionalmente, revelar el importe de los pagos que durante el período se hicieron por la compra de los elementos citados. </w:t>
      </w:r>
    </w:p>
    <w:p w:rsidR="005455E1" w:rsidRDefault="005455E1" w:rsidP="00786B0E">
      <w:pPr>
        <w:pStyle w:val="ROMANOS"/>
        <w:spacing w:after="0" w:line="240" w:lineRule="exact"/>
      </w:pPr>
    </w:p>
    <w:p w:rsidR="00A96DF5" w:rsidRDefault="006D6C9F" w:rsidP="009D3DE7">
      <w:pPr>
        <w:pStyle w:val="ROMANOS"/>
        <w:spacing w:after="0" w:line="240" w:lineRule="exact"/>
        <w:rPr>
          <w:rFonts w:asciiTheme="minorHAnsi" w:eastAsiaTheme="minorHAnsi" w:hAnsiTheme="minorHAnsi" w:cstheme="minorBidi"/>
          <w:sz w:val="22"/>
          <w:szCs w:val="22"/>
          <w:lang w:val="es-MX" w:eastAsia="en-US"/>
        </w:rPr>
      </w:pPr>
      <w:r>
        <w:fldChar w:fldCharType="begin"/>
      </w:r>
      <w:r>
        <w:instrText xml:space="preserve"> LINK </w:instrText>
      </w:r>
      <w:r w:rsidR="003F1813">
        <w:instrText xml:space="preserve">Excel.Sheet.12 "C:\\Users\\UAT\\Documents\\Cuenta Pubica 4to T 2023 - copia\\CUENTA PUBLICA DE LA UNIVERSIDAD AUTONOMA DE TLAXCALA.xlsx" "ADQ DE BIENES!F1C1:F26C3" </w:instrText>
      </w:r>
      <w:r>
        <w:instrText xml:space="preserve">\a \f 4 \h </w:instrText>
      </w:r>
      <w:r>
        <w:fldChar w:fldCharType="separate"/>
      </w:r>
    </w:p>
    <w:tbl>
      <w:tblPr>
        <w:tblW w:w="9816" w:type="dxa"/>
        <w:tblCellMar>
          <w:left w:w="70" w:type="dxa"/>
          <w:right w:w="70" w:type="dxa"/>
        </w:tblCellMar>
        <w:tblLook w:val="04A0" w:firstRow="1" w:lastRow="0" w:firstColumn="1" w:lastColumn="0" w:noHBand="0" w:noVBand="1"/>
      </w:tblPr>
      <w:tblGrid>
        <w:gridCol w:w="1128"/>
        <w:gridCol w:w="6673"/>
        <w:gridCol w:w="2015"/>
      </w:tblGrid>
      <w:tr w:rsidR="00A96DF5" w:rsidRPr="00A96DF5" w:rsidTr="00A96DF5">
        <w:trPr>
          <w:trHeight w:val="375"/>
        </w:trPr>
        <w:tc>
          <w:tcPr>
            <w:tcW w:w="1128" w:type="dxa"/>
            <w:tcBorders>
              <w:top w:val="nil"/>
              <w:left w:val="nil"/>
              <w:bottom w:val="nil"/>
              <w:right w:val="nil"/>
            </w:tcBorders>
            <w:shd w:val="clear" w:color="auto" w:fill="auto"/>
            <w:noWrap/>
            <w:vAlign w:val="bottom"/>
            <w:hideMark/>
          </w:tcPr>
          <w:p w:rsidR="00A96DF5" w:rsidRPr="00A96DF5" w:rsidRDefault="00A96DF5" w:rsidP="00A96DF5">
            <w:pPr>
              <w:spacing w:after="0" w:line="240" w:lineRule="auto"/>
              <w:rPr>
                <w:rFonts w:ascii="Times New Roman" w:eastAsia="Times New Roman" w:hAnsi="Times New Roman" w:cs="Times New Roman"/>
                <w:sz w:val="24"/>
                <w:szCs w:val="24"/>
                <w:lang w:eastAsia="es-MX"/>
              </w:rPr>
            </w:pPr>
          </w:p>
        </w:tc>
        <w:tc>
          <w:tcPr>
            <w:tcW w:w="8688" w:type="dxa"/>
            <w:gridSpan w:val="2"/>
            <w:tcBorders>
              <w:top w:val="single" w:sz="4" w:space="0" w:color="auto"/>
              <w:left w:val="single" w:sz="4" w:space="0" w:color="auto"/>
              <w:bottom w:val="single" w:sz="4" w:space="0" w:color="auto"/>
              <w:right w:val="nil"/>
            </w:tcBorders>
            <w:shd w:val="clear" w:color="000000" w:fill="632523"/>
            <w:noWrap/>
            <w:vAlign w:val="bottom"/>
            <w:hideMark/>
          </w:tcPr>
          <w:p w:rsidR="00A96DF5" w:rsidRPr="00A96DF5" w:rsidRDefault="00A96DF5" w:rsidP="00A96DF5">
            <w:pPr>
              <w:spacing w:after="0" w:line="240" w:lineRule="auto"/>
              <w:jc w:val="center"/>
              <w:rPr>
                <w:rFonts w:ascii="Calibri" w:eastAsia="Times New Roman" w:hAnsi="Calibri" w:cs="Times New Roman"/>
                <w:b/>
                <w:bCs/>
                <w:color w:val="FFFFFF"/>
                <w:sz w:val="28"/>
                <w:szCs w:val="28"/>
                <w:lang w:eastAsia="es-MX"/>
              </w:rPr>
            </w:pPr>
            <w:r w:rsidRPr="00A96DF5">
              <w:rPr>
                <w:rFonts w:ascii="Calibri" w:eastAsia="Times New Roman" w:hAnsi="Calibri" w:cs="Times New Roman"/>
                <w:b/>
                <w:bCs/>
                <w:color w:val="FFFFFF"/>
                <w:sz w:val="28"/>
                <w:szCs w:val="28"/>
                <w:lang w:eastAsia="es-MX"/>
              </w:rPr>
              <w:t>ADQUISICIÓN BIENES MUEBLES E INMUEBLES:</w:t>
            </w:r>
          </w:p>
        </w:tc>
      </w:tr>
      <w:tr w:rsidR="00A96DF5" w:rsidRPr="00A96DF5" w:rsidTr="00A96DF5">
        <w:trPr>
          <w:trHeight w:val="300"/>
        </w:trPr>
        <w:tc>
          <w:tcPr>
            <w:tcW w:w="1128" w:type="dxa"/>
            <w:tcBorders>
              <w:top w:val="single" w:sz="4" w:space="0" w:color="auto"/>
              <w:left w:val="single" w:sz="4" w:space="0" w:color="auto"/>
              <w:bottom w:val="single" w:sz="4" w:space="0" w:color="auto"/>
              <w:right w:val="single" w:sz="4" w:space="0" w:color="auto"/>
            </w:tcBorders>
            <w:shd w:val="clear" w:color="000000" w:fill="632523"/>
            <w:noWrap/>
            <w:vAlign w:val="bottom"/>
            <w:hideMark/>
          </w:tcPr>
          <w:p w:rsidR="00A96DF5" w:rsidRPr="00A96DF5" w:rsidRDefault="00A96DF5" w:rsidP="00A96DF5">
            <w:pPr>
              <w:spacing w:after="0" w:line="240" w:lineRule="auto"/>
              <w:jc w:val="center"/>
              <w:rPr>
                <w:rFonts w:ascii="Calibri" w:eastAsia="Times New Roman" w:hAnsi="Calibri" w:cs="Times New Roman"/>
                <w:b/>
                <w:bCs/>
                <w:color w:val="FFFFFF"/>
                <w:lang w:eastAsia="es-MX"/>
              </w:rPr>
            </w:pPr>
            <w:r w:rsidRPr="00A96DF5">
              <w:rPr>
                <w:rFonts w:ascii="Calibri" w:eastAsia="Times New Roman" w:hAnsi="Calibri" w:cs="Times New Roman"/>
                <w:b/>
                <w:bCs/>
                <w:color w:val="FFFFFF"/>
                <w:lang w:eastAsia="es-MX"/>
              </w:rPr>
              <w:t>Cuenta</w:t>
            </w:r>
          </w:p>
        </w:tc>
        <w:tc>
          <w:tcPr>
            <w:tcW w:w="6673" w:type="dxa"/>
            <w:tcBorders>
              <w:top w:val="nil"/>
              <w:left w:val="nil"/>
              <w:bottom w:val="single" w:sz="4" w:space="0" w:color="auto"/>
              <w:right w:val="single" w:sz="4" w:space="0" w:color="auto"/>
            </w:tcBorders>
            <w:shd w:val="clear" w:color="000000" w:fill="632523"/>
            <w:noWrap/>
            <w:vAlign w:val="bottom"/>
            <w:hideMark/>
          </w:tcPr>
          <w:p w:rsidR="00A96DF5" w:rsidRPr="00A96DF5" w:rsidRDefault="00A96DF5" w:rsidP="00A96DF5">
            <w:pPr>
              <w:spacing w:after="0" w:line="240" w:lineRule="auto"/>
              <w:jc w:val="center"/>
              <w:rPr>
                <w:rFonts w:ascii="Calibri" w:eastAsia="Times New Roman" w:hAnsi="Calibri" w:cs="Times New Roman"/>
                <w:b/>
                <w:bCs/>
                <w:color w:val="FFFFFF"/>
                <w:lang w:eastAsia="es-MX"/>
              </w:rPr>
            </w:pPr>
            <w:r w:rsidRPr="00A96DF5">
              <w:rPr>
                <w:rFonts w:ascii="Calibri" w:eastAsia="Times New Roman" w:hAnsi="Calibri" w:cs="Times New Roman"/>
                <w:b/>
                <w:bCs/>
                <w:color w:val="FFFFFF"/>
                <w:lang w:eastAsia="es-MX"/>
              </w:rPr>
              <w:t>Nombre de la Cuenta</w:t>
            </w:r>
          </w:p>
        </w:tc>
        <w:tc>
          <w:tcPr>
            <w:tcW w:w="2015" w:type="dxa"/>
            <w:tcBorders>
              <w:top w:val="nil"/>
              <w:left w:val="nil"/>
              <w:bottom w:val="single" w:sz="4" w:space="0" w:color="auto"/>
              <w:right w:val="single" w:sz="4" w:space="0" w:color="auto"/>
            </w:tcBorders>
            <w:shd w:val="clear" w:color="000000" w:fill="632523"/>
            <w:noWrap/>
            <w:vAlign w:val="bottom"/>
            <w:hideMark/>
          </w:tcPr>
          <w:p w:rsidR="00A96DF5" w:rsidRPr="00A96DF5" w:rsidRDefault="00A96DF5" w:rsidP="00A96DF5">
            <w:pPr>
              <w:spacing w:after="0" w:line="240" w:lineRule="auto"/>
              <w:jc w:val="center"/>
              <w:rPr>
                <w:rFonts w:ascii="Calibri" w:eastAsia="Times New Roman" w:hAnsi="Calibri" w:cs="Times New Roman"/>
                <w:b/>
                <w:bCs/>
                <w:color w:val="FFFFFF"/>
                <w:lang w:eastAsia="es-MX"/>
              </w:rPr>
            </w:pPr>
            <w:r w:rsidRPr="00A96DF5">
              <w:rPr>
                <w:rFonts w:ascii="Calibri" w:eastAsia="Times New Roman" w:hAnsi="Calibri" w:cs="Times New Roman"/>
                <w:b/>
                <w:bCs/>
                <w:color w:val="FFFFFF"/>
                <w:lang w:eastAsia="es-MX"/>
              </w:rPr>
              <w:t>Monto</w:t>
            </w:r>
          </w:p>
        </w:tc>
      </w:tr>
      <w:tr w:rsidR="00A96DF5" w:rsidRPr="00A96DF5" w:rsidTr="00A96DF5">
        <w:trPr>
          <w:trHeight w:val="54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1.2.3</w:t>
            </w:r>
          </w:p>
        </w:tc>
        <w:tc>
          <w:tcPr>
            <w:tcW w:w="6673" w:type="dxa"/>
            <w:tcBorders>
              <w:top w:val="nil"/>
              <w:left w:val="nil"/>
              <w:bottom w:val="single" w:sz="4" w:space="0" w:color="auto"/>
              <w:right w:val="single" w:sz="4" w:space="0" w:color="auto"/>
            </w:tcBorders>
            <w:shd w:val="clear" w:color="auto" w:fill="auto"/>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BIENES INMUEBLES, INFRAESTRUCTURA Y CONSTRUCCIONES EN PROCESO</w:t>
            </w:r>
          </w:p>
        </w:tc>
        <w:tc>
          <w:tcPr>
            <w:tcW w:w="2015"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jc w:val="right"/>
              <w:rPr>
                <w:rFonts w:ascii="Calibri" w:eastAsia="Times New Roman" w:hAnsi="Calibri" w:cs="Times New Roman"/>
                <w:b/>
                <w:bCs/>
                <w:color w:val="000000"/>
                <w:lang w:eastAsia="es-MX"/>
              </w:rPr>
            </w:pPr>
            <w:r w:rsidRPr="00A96DF5">
              <w:rPr>
                <w:rFonts w:ascii="Calibri" w:eastAsia="Times New Roman" w:hAnsi="Calibri" w:cs="Times New Roman"/>
                <w:b/>
                <w:bCs/>
                <w:color w:val="000000"/>
                <w:lang w:eastAsia="es-MX"/>
              </w:rPr>
              <w:t>19,902,224</w:t>
            </w:r>
          </w:p>
        </w:tc>
      </w:tr>
      <w:tr w:rsidR="00A96DF5" w:rsidRPr="00A96DF5" w:rsidTr="00A96DF5">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1.2.3.1</w:t>
            </w:r>
          </w:p>
        </w:tc>
        <w:tc>
          <w:tcPr>
            <w:tcW w:w="6673"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TERRENOS</w:t>
            </w:r>
          </w:p>
        </w:tc>
        <w:tc>
          <w:tcPr>
            <w:tcW w:w="2015"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 xml:space="preserve">            5,500,000.00 </w:t>
            </w:r>
          </w:p>
        </w:tc>
      </w:tr>
      <w:tr w:rsidR="00A96DF5" w:rsidRPr="00A96DF5" w:rsidTr="00A96DF5">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1.2.3.2</w:t>
            </w:r>
          </w:p>
        </w:tc>
        <w:tc>
          <w:tcPr>
            <w:tcW w:w="6673"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VIVIENDAS</w:t>
            </w:r>
          </w:p>
        </w:tc>
        <w:tc>
          <w:tcPr>
            <w:tcW w:w="2015"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jc w:val="right"/>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0</w:t>
            </w:r>
          </w:p>
        </w:tc>
      </w:tr>
      <w:tr w:rsidR="00A96DF5" w:rsidRPr="00A96DF5" w:rsidTr="00A96DF5">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1.2.3.3</w:t>
            </w:r>
          </w:p>
        </w:tc>
        <w:tc>
          <w:tcPr>
            <w:tcW w:w="6673"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EDIFICIOS NO HABITACIONALES</w:t>
            </w:r>
          </w:p>
        </w:tc>
        <w:tc>
          <w:tcPr>
            <w:tcW w:w="2015"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jc w:val="right"/>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0</w:t>
            </w:r>
          </w:p>
        </w:tc>
      </w:tr>
      <w:tr w:rsidR="00A96DF5" w:rsidRPr="00A96DF5" w:rsidTr="00A96DF5">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1.2.3.4</w:t>
            </w:r>
          </w:p>
        </w:tc>
        <w:tc>
          <w:tcPr>
            <w:tcW w:w="6673"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INFRAESTRUCTURA</w:t>
            </w:r>
          </w:p>
        </w:tc>
        <w:tc>
          <w:tcPr>
            <w:tcW w:w="2015"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jc w:val="right"/>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0</w:t>
            </w:r>
          </w:p>
        </w:tc>
      </w:tr>
      <w:tr w:rsidR="00A96DF5" w:rsidRPr="00A96DF5" w:rsidTr="00A96DF5">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1.2.3.5</w:t>
            </w:r>
          </w:p>
        </w:tc>
        <w:tc>
          <w:tcPr>
            <w:tcW w:w="6673" w:type="dxa"/>
            <w:tcBorders>
              <w:top w:val="nil"/>
              <w:left w:val="nil"/>
              <w:bottom w:val="single" w:sz="4" w:space="0" w:color="auto"/>
              <w:right w:val="single" w:sz="4" w:space="0" w:color="auto"/>
            </w:tcBorders>
            <w:shd w:val="clear" w:color="auto" w:fill="auto"/>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CONSTRUCCIONES EN PROCESO EN BIENES DE DOMINIO PÚBLICO</w:t>
            </w:r>
          </w:p>
        </w:tc>
        <w:tc>
          <w:tcPr>
            <w:tcW w:w="2015"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jc w:val="right"/>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0</w:t>
            </w:r>
          </w:p>
        </w:tc>
      </w:tr>
      <w:tr w:rsidR="00A96DF5" w:rsidRPr="00A96DF5" w:rsidTr="00A96DF5">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1.2.3.6</w:t>
            </w:r>
          </w:p>
        </w:tc>
        <w:tc>
          <w:tcPr>
            <w:tcW w:w="6673"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CONSTRUCCIONES EN PROCESO EN BIENES PROPIOS</w:t>
            </w:r>
          </w:p>
        </w:tc>
        <w:tc>
          <w:tcPr>
            <w:tcW w:w="2015"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jc w:val="right"/>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14,402,224</w:t>
            </w:r>
          </w:p>
        </w:tc>
      </w:tr>
      <w:tr w:rsidR="00A96DF5" w:rsidRPr="00A96DF5" w:rsidTr="00A96DF5">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1.2.3.9</w:t>
            </w:r>
          </w:p>
        </w:tc>
        <w:tc>
          <w:tcPr>
            <w:tcW w:w="6673"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OTROS BIENES INMUEBLES</w:t>
            </w:r>
          </w:p>
        </w:tc>
        <w:tc>
          <w:tcPr>
            <w:tcW w:w="2015"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jc w:val="right"/>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0</w:t>
            </w:r>
          </w:p>
        </w:tc>
      </w:tr>
      <w:tr w:rsidR="00A96DF5" w:rsidRPr="00A96DF5" w:rsidTr="00A96DF5">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1.2.4</w:t>
            </w:r>
          </w:p>
        </w:tc>
        <w:tc>
          <w:tcPr>
            <w:tcW w:w="6673"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BIENES MUEBLES</w:t>
            </w:r>
          </w:p>
        </w:tc>
        <w:tc>
          <w:tcPr>
            <w:tcW w:w="2015"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jc w:val="right"/>
              <w:rPr>
                <w:rFonts w:ascii="Calibri" w:eastAsia="Times New Roman" w:hAnsi="Calibri" w:cs="Times New Roman"/>
                <w:b/>
                <w:bCs/>
                <w:color w:val="000000"/>
                <w:lang w:eastAsia="es-MX"/>
              </w:rPr>
            </w:pPr>
            <w:r w:rsidRPr="00A96DF5">
              <w:rPr>
                <w:rFonts w:ascii="Calibri" w:eastAsia="Times New Roman" w:hAnsi="Calibri" w:cs="Times New Roman"/>
                <w:b/>
                <w:bCs/>
                <w:color w:val="000000"/>
                <w:lang w:eastAsia="es-MX"/>
              </w:rPr>
              <w:t>3,439,259</w:t>
            </w:r>
          </w:p>
        </w:tc>
      </w:tr>
      <w:tr w:rsidR="00A96DF5" w:rsidRPr="00A96DF5" w:rsidTr="00A96DF5">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1.2.4.1</w:t>
            </w:r>
          </w:p>
        </w:tc>
        <w:tc>
          <w:tcPr>
            <w:tcW w:w="6673"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MOBILIARIO Y EQUIPO DE ADMINISTRACIÓN</w:t>
            </w:r>
          </w:p>
        </w:tc>
        <w:tc>
          <w:tcPr>
            <w:tcW w:w="2015"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jc w:val="right"/>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1,322,039</w:t>
            </w:r>
          </w:p>
        </w:tc>
      </w:tr>
      <w:tr w:rsidR="00A96DF5" w:rsidRPr="00A96DF5" w:rsidTr="00A96DF5">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1.2.4.2</w:t>
            </w:r>
          </w:p>
        </w:tc>
        <w:tc>
          <w:tcPr>
            <w:tcW w:w="6673"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MOBILIARIO Y EQUIPO EDUCACIONAL Y RECREATIVO</w:t>
            </w:r>
          </w:p>
        </w:tc>
        <w:tc>
          <w:tcPr>
            <w:tcW w:w="2015"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jc w:val="right"/>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242,254</w:t>
            </w:r>
          </w:p>
        </w:tc>
      </w:tr>
      <w:tr w:rsidR="00A96DF5" w:rsidRPr="00A96DF5" w:rsidTr="00A96DF5">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1.2.4.3</w:t>
            </w:r>
          </w:p>
        </w:tc>
        <w:tc>
          <w:tcPr>
            <w:tcW w:w="6673"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EQUIPO E INSTRUMENTAL MÉDICO Y DE LABORATORIO</w:t>
            </w:r>
          </w:p>
        </w:tc>
        <w:tc>
          <w:tcPr>
            <w:tcW w:w="2015"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jc w:val="right"/>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1,344,785</w:t>
            </w:r>
          </w:p>
        </w:tc>
      </w:tr>
      <w:tr w:rsidR="00A96DF5" w:rsidRPr="00A96DF5" w:rsidTr="00A96DF5">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1.2.4.4</w:t>
            </w:r>
          </w:p>
        </w:tc>
        <w:tc>
          <w:tcPr>
            <w:tcW w:w="6673"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VEHICULOS Y EQUIPO DE TRANSPORTE</w:t>
            </w:r>
          </w:p>
        </w:tc>
        <w:tc>
          <w:tcPr>
            <w:tcW w:w="2015"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jc w:val="right"/>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0</w:t>
            </w:r>
          </w:p>
        </w:tc>
      </w:tr>
      <w:tr w:rsidR="00A96DF5" w:rsidRPr="00A96DF5" w:rsidTr="00A96DF5">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1.2.4.5</w:t>
            </w:r>
          </w:p>
        </w:tc>
        <w:tc>
          <w:tcPr>
            <w:tcW w:w="6673"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EQUIPO DE DEFENSA Y SEGURIDAD</w:t>
            </w:r>
          </w:p>
        </w:tc>
        <w:tc>
          <w:tcPr>
            <w:tcW w:w="2015"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jc w:val="right"/>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0</w:t>
            </w:r>
          </w:p>
        </w:tc>
      </w:tr>
      <w:tr w:rsidR="00A96DF5" w:rsidRPr="00A96DF5" w:rsidTr="00A96DF5">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1.2.4.6</w:t>
            </w:r>
          </w:p>
        </w:tc>
        <w:tc>
          <w:tcPr>
            <w:tcW w:w="6673"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MAQUINARIA, OTROS EQUIPOS Y HERRAMIENTAS</w:t>
            </w:r>
          </w:p>
        </w:tc>
        <w:tc>
          <w:tcPr>
            <w:tcW w:w="2015"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jc w:val="right"/>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530,180</w:t>
            </w:r>
          </w:p>
        </w:tc>
      </w:tr>
      <w:tr w:rsidR="00A96DF5" w:rsidRPr="00A96DF5" w:rsidTr="00A96DF5">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1.2.4.7</w:t>
            </w:r>
          </w:p>
        </w:tc>
        <w:tc>
          <w:tcPr>
            <w:tcW w:w="6673"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COLECCIONES, OBRAS DE ARTE Y OBJETOS VALIOSOS</w:t>
            </w:r>
          </w:p>
        </w:tc>
        <w:tc>
          <w:tcPr>
            <w:tcW w:w="2015"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jc w:val="right"/>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0</w:t>
            </w:r>
          </w:p>
        </w:tc>
      </w:tr>
      <w:tr w:rsidR="00A96DF5" w:rsidRPr="00A96DF5" w:rsidTr="00A96DF5">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1.2.4.8</w:t>
            </w:r>
          </w:p>
        </w:tc>
        <w:tc>
          <w:tcPr>
            <w:tcW w:w="6673"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ACTIVOS BIOLÓGICOS</w:t>
            </w:r>
          </w:p>
        </w:tc>
        <w:tc>
          <w:tcPr>
            <w:tcW w:w="2015"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jc w:val="right"/>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0</w:t>
            </w:r>
          </w:p>
        </w:tc>
      </w:tr>
      <w:tr w:rsidR="00A96DF5" w:rsidRPr="00A96DF5" w:rsidTr="00A96DF5">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1.2.5</w:t>
            </w:r>
          </w:p>
        </w:tc>
        <w:tc>
          <w:tcPr>
            <w:tcW w:w="6673"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ACTIVOS INTANGIBLES</w:t>
            </w:r>
          </w:p>
        </w:tc>
        <w:tc>
          <w:tcPr>
            <w:tcW w:w="2015"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jc w:val="right"/>
              <w:rPr>
                <w:rFonts w:ascii="Calibri" w:eastAsia="Times New Roman" w:hAnsi="Calibri" w:cs="Times New Roman"/>
                <w:b/>
                <w:bCs/>
                <w:color w:val="000000"/>
                <w:lang w:eastAsia="es-MX"/>
              </w:rPr>
            </w:pPr>
            <w:r w:rsidRPr="00A96DF5">
              <w:rPr>
                <w:rFonts w:ascii="Calibri" w:eastAsia="Times New Roman" w:hAnsi="Calibri" w:cs="Times New Roman"/>
                <w:b/>
                <w:bCs/>
                <w:color w:val="000000"/>
                <w:lang w:eastAsia="es-MX"/>
              </w:rPr>
              <w:t>0</w:t>
            </w:r>
          </w:p>
        </w:tc>
      </w:tr>
      <w:tr w:rsidR="00A96DF5" w:rsidRPr="00A96DF5" w:rsidTr="00A96DF5">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1.2.5.1</w:t>
            </w:r>
          </w:p>
        </w:tc>
        <w:tc>
          <w:tcPr>
            <w:tcW w:w="6673"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SOFTWARE</w:t>
            </w:r>
          </w:p>
        </w:tc>
        <w:tc>
          <w:tcPr>
            <w:tcW w:w="2015"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jc w:val="right"/>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0</w:t>
            </w:r>
          </w:p>
        </w:tc>
      </w:tr>
      <w:tr w:rsidR="00A96DF5" w:rsidRPr="00A96DF5" w:rsidTr="00A96DF5">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1.2.5.2</w:t>
            </w:r>
          </w:p>
        </w:tc>
        <w:tc>
          <w:tcPr>
            <w:tcW w:w="6673"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PATENTES, MARCAS Y DERECHOS</w:t>
            </w:r>
          </w:p>
        </w:tc>
        <w:tc>
          <w:tcPr>
            <w:tcW w:w="2015"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jc w:val="right"/>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0</w:t>
            </w:r>
          </w:p>
        </w:tc>
      </w:tr>
      <w:tr w:rsidR="00A96DF5" w:rsidRPr="00A96DF5" w:rsidTr="00A96DF5">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1.2.5.3</w:t>
            </w:r>
          </w:p>
        </w:tc>
        <w:tc>
          <w:tcPr>
            <w:tcW w:w="6673"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CONCESIONES Y FRANQUICIAS</w:t>
            </w:r>
          </w:p>
        </w:tc>
        <w:tc>
          <w:tcPr>
            <w:tcW w:w="2015"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jc w:val="right"/>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0</w:t>
            </w:r>
          </w:p>
        </w:tc>
      </w:tr>
      <w:tr w:rsidR="00A96DF5" w:rsidRPr="00A96DF5" w:rsidTr="00A96DF5">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1.2.5.4</w:t>
            </w:r>
          </w:p>
        </w:tc>
        <w:tc>
          <w:tcPr>
            <w:tcW w:w="6673"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LICENCIAS</w:t>
            </w:r>
          </w:p>
        </w:tc>
        <w:tc>
          <w:tcPr>
            <w:tcW w:w="2015"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jc w:val="right"/>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0</w:t>
            </w:r>
          </w:p>
        </w:tc>
      </w:tr>
      <w:tr w:rsidR="00A96DF5" w:rsidRPr="00A96DF5" w:rsidTr="00A96DF5">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1.2.5.9</w:t>
            </w:r>
          </w:p>
        </w:tc>
        <w:tc>
          <w:tcPr>
            <w:tcW w:w="6673"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OTROS ACTIVOS INTANGIBLES</w:t>
            </w:r>
          </w:p>
        </w:tc>
        <w:tc>
          <w:tcPr>
            <w:tcW w:w="2015"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jc w:val="right"/>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0</w:t>
            </w:r>
          </w:p>
        </w:tc>
      </w:tr>
      <w:tr w:rsidR="00A96DF5" w:rsidRPr="00A96DF5" w:rsidTr="00A96DF5">
        <w:trPr>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color w:val="000000"/>
                <w:lang w:eastAsia="es-MX"/>
              </w:rPr>
            </w:pPr>
            <w:r w:rsidRPr="00A96DF5">
              <w:rPr>
                <w:rFonts w:ascii="Calibri" w:eastAsia="Times New Roman" w:hAnsi="Calibri" w:cs="Times New Roman"/>
                <w:color w:val="000000"/>
                <w:lang w:eastAsia="es-MX"/>
              </w:rPr>
              <w:t> </w:t>
            </w:r>
          </w:p>
        </w:tc>
        <w:tc>
          <w:tcPr>
            <w:tcW w:w="6673"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rPr>
                <w:rFonts w:ascii="Calibri" w:eastAsia="Times New Roman" w:hAnsi="Calibri" w:cs="Times New Roman"/>
                <w:b/>
                <w:bCs/>
                <w:color w:val="000000"/>
                <w:lang w:eastAsia="es-MX"/>
              </w:rPr>
            </w:pPr>
            <w:r w:rsidRPr="00A96DF5">
              <w:rPr>
                <w:rFonts w:ascii="Calibri" w:eastAsia="Times New Roman" w:hAnsi="Calibri" w:cs="Times New Roman"/>
                <w:b/>
                <w:bCs/>
                <w:color w:val="000000"/>
                <w:lang w:eastAsia="es-MX"/>
              </w:rPr>
              <w:t>TOTAL</w:t>
            </w:r>
          </w:p>
        </w:tc>
        <w:tc>
          <w:tcPr>
            <w:tcW w:w="2015" w:type="dxa"/>
            <w:tcBorders>
              <w:top w:val="nil"/>
              <w:left w:val="nil"/>
              <w:bottom w:val="single" w:sz="4" w:space="0" w:color="auto"/>
              <w:right w:val="single" w:sz="4" w:space="0" w:color="auto"/>
            </w:tcBorders>
            <w:shd w:val="clear" w:color="auto" w:fill="auto"/>
            <w:noWrap/>
            <w:vAlign w:val="center"/>
            <w:hideMark/>
          </w:tcPr>
          <w:p w:rsidR="00A96DF5" w:rsidRPr="00A96DF5" w:rsidRDefault="00A96DF5" w:rsidP="00A96DF5">
            <w:pPr>
              <w:spacing w:after="0" w:line="240" w:lineRule="auto"/>
              <w:jc w:val="right"/>
              <w:rPr>
                <w:rFonts w:ascii="Calibri" w:eastAsia="Times New Roman" w:hAnsi="Calibri" w:cs="Times New Roman"/>
                <w:b/>
                <w:bCs/>
                <w:color w:val="000000"/>
                <w:lang w:eastAsia="es-MX"/>
              </w:rPr>
            </w:pPr>
            <w:r w:rsidRPr="00A96DF5">
              <w:rPr>
                <w:rFonts w:ascii="Calibri" w:eastAsia="Times New Roman" w:hAnsi="Calibri" w:cs="Times New Roman"/>
                <w:b/>
                <w:bCs/>
                <w:color w:val="000000"/>
                <w:lang w:eastAsia="es-MX"/>
              </w:rPr>
              <w:t>23,341,483</w:t>
            </w:r>
          </w:p>
        </w:tc>
      </w:tr>
    </w:tbl>
    <w:p w:rsidR="009D3DE7" w:rsidRDefault="006D6C9F" w:rsidP="009D3DE7">
      <w:pPr>
        <w:pStyle w:val="ROMANOS"/>
        <w:spacing w:after="0" w:line="240" w:lineRule="exact"/>
      </w:pPr>
      <w:r>
        <w:fldChar w:fldCharType="end"/>
      </w:r>
    </w:p>
    <w:p w:rsidR="006D6C9F" w:rsidRDefault="006D6C9F" w:rsidP="009D3DE7">
      <w:pPr>
        <w:pStyle w:val="ROMANOS"/>
        <w:spacing w:after="0" w:line="240" w:lineRule="exact"/>
        <w:jc w:val="center"/>
      </w:pPr>
    </w:p>
    <w:p w:rsidR="005455E1" w:rsidRDefault="005455E1" w:rsidP="00786B0E">
      <w:pPr>
        <w:pStyle w:val="ROMANOS"/>
        <w:spacing w:after="0" w:line="240" w:lineRule="exact"/>
      </w:pPr>
    </w:p>
    <w:p w:rsidR="005455E1" w:rsidRDefault="005455E1" w:rsidP="00786B0E">
      <w:pPr>
        <w:pStyle w:val="ROMANOS"/>
        <w:spacing w:after="0" w:line="240" w:lineRule="exact"/>
      </w:pPr>
    </w:p>
    <w:p w:rsidR="005C0400" w:rsidRDefault="005C0400" w:rsidP="00786B0E">
      <w:pPr>
        <w:pStyle w:val="ROMANOS"/>
        <w:spacing w:after="0" w:line="240" w:lineRule="exact"/>
      </w:pPr>
    </w:p>
    <w:p w:rsidR="005C0400" w:rsidRDefault="005C0400" w:rsidP="00786B0E">
      <w:pPr>
        <w:pStyle w:val="ROMANOS"/>
        <w:spacing w:after="0" w:line="240" w:lineRule="exact"/>
      </w:pPr>
    </w:p>
    <w:p w:rsidR="005C0400" w:rsidRDefault="005C0400" w:rsidP="00786B0E">
      <w:pPr>
        <w:pStyle w:val="ROMANOS"/>
        <w:spacing w:after="0" w:line="240" w:lineRule="exact"/>
      </w:pPr>
    </w:p>
    <w:p w:rsidR="005C0400" w:rsidRDefault="005C0400" w:rsidP="00786B0E">
      <w:pPr>
        <w:pStyle w:val="ROMANOS"/>
        <w:spacing w:after="0" w:line="240" w:lineRule="exact"/>
      </w:pPr>
    </w:p>
    <w:p w:rsidR="005C0400" w:rsidRDefault="005C0400" w:rsidP="00786B0E">
      <w:pPr>
        <w:pStyle w:val="ROMANOS"/>
        <w:spacing w:after="0" w:line="240" w:lineRule="exact"/>
      </w:pPr>
    </w:p>
    <w:p w:rsidR="005C0400" w:rsidRDefault="005C0400" w:rsidP="00786B0E">
      <w:pPr>
        <w:pStyle w:val="ROMANOS"/>
        <w:spacing w:after="0" w:line="240" w:lineRule="exact"/>
      </w:pPr>
    </w:p>
    <w:p w:rsidR="005C0400" w:rsidRDefault="005C0400" w:rsidP="00786B0E">
      <w:pPr>
        <w:pStyle w:val="ROMANOS"/>
        <w:spacing w:after="0" w:line="240" w:lineRule="exact"/>
      </w:pPr>
    </w:p>
    <w:p w:rsidR="005C0400" w:rsidRDefault="005C0400" w:rsidP="00786B0E">
      <w:pPr>
        <w:pStyle w:val="ROMANOS"/>
        <w:spacing w:after="0" w:line="240" w:lineRule="exact"/>
      </w:pPr>
    </w:p>
    <w:p w:rsidR="00786B0E" w:rsidRDefault="00786B0E" w:rsidP="00786B0E">
      <w:pPr>
        <w:pStyle w:val="ROMANOS"/>
        <w:spacing w:after="0" w:line="240" w:lineRule="exact"/>
        <w:ind w:left="644" w:firstLine="0"/>
      </w:pPr>
    </w:p>
    <w:p w:rsidR="005C0400" w:rsidRDefault="005C0400" w:rsidP="00786B0E">
      <w:pPr>
        <w:pStyle w:val="ROMANOS"/>
        <w:spacing w:after="0" w:line="240" w:lineRule="exact"/>
        <w:ind w:left="644" w:firstLine="0"/>
      </w:pPr>
    </w:p>
    <w:p w:rsidR="005C0400" w:rsidRDefault="005C0400" w:rsidP="00786B0E">
      <w:pPr>
        <w:pStyle w:val="ROMANOS"/>
        <w:spacing w:after="0" w:line="240" w:lineRule="exact"/>
        <w:ind w:left="644" w:firstLine="0"/>
      </w:pPr>
    </w:p>
    <w:p w:rsidR="005C0400" w:rsidRDefault="005C0400" w:rsidP="00786B0E">
      <w:pPr>
        <w:pStyle w:val="ROMANOS"/>
        <w:spacing w:after="0" w:line="240" w:lineRule="exact"/>
        <w:ind w:left="644" w:firstLine="0"/>
      </w:pPr>
    </w:p>
    <w:p w:rsidR="005C0400" w:rsidRDefault="005C0400" w:rsidP="00786B0E">
      <w:pPr>
        <w:pStyle w:val="ROMANOS"/>
        <w:spacing w:after="0" w:line="240" w:lineRule="exact"/>
        <w:ind w:left="644" w:firstLine="0"/>
      </w:pPr>
    </w:p>
    <w:p w:rsidR="005C0400" w:rsidRDefault="005C0400" w:rsidP="00786B0E">
      <w:pPr>
        <w:pStyle w:val="ROMANOS"/>
        <w:spacing w:after="0" w:line="240" w:lineRule="exact"/>
        <w:ind w:left="644" w:firstLine="0"/>
      </w:pPr>
    </w:p>
    <w:p w:rsidR="005455E1" w:rsidRPr="005C0400" w:rsidRDefault="00786B0E" w:rsidP="005C0400">
      <w:pPr>
        <w:pStyle w:val="ROMANOS"/>
        <w:spacing w:after="0" w:line="240" w:lineRule="exact"/>
        <w:ind w:left="288" w:firstLine="0"/>
        <w:rPr>
          <w:noProof/>
          <w:lang w:eastAsia="es-MX"/>
        </w:rPr>
      </w:pPr>
      <w:r>
        <w:rPr>
          <w:lang w:val="es-MX"/>
        </w:rPr>
        <w:t xml:space="preserve">3.- </w:t>
      </w:r>
      <w:r w:rsidRPr="00BE45D1">
        <w:rPr>
          <w:lang w:val="es-MX"/>
        </w:rPr>
        <w:t>Conciliación de los Flujos de Efectivo Netos de las Actividades de Operación y la cuenta de Ahorro/Desahorro ante</w:t>
      </w:r>
      <w:r w:rsidR="00EF1F7C">
        <w:rPr>
          <w:lang w:val="es-MX"/>
        </w:rPr>
        <w:t xml:space="preserve">s de Rubros Extraordinarios. A </w:t>
      </w:r>
      <w:r w:rsidRPr="00BE45D1">
        <w:rPr>
          <w:lang w:val="es-MX"/>
        </w:rPr>
        <w:t xml:space="preserve">continuación, se presenta un ejemplo de la elaboración de la conciliación. </w:t>
      </w:r>
    </w:p>
    <w:p w:rsidR="00A96DF5" w:rsidRDefault="006D6C9F" w:rsidP="00786B0E">
      <w:pPr>
        <w:pStyle w:val="INCISO"/>
        <w:spacing w:after="0" w:line="240" w:lineRule="exact"/>
        <w:ind w:left="360"/>
        <w:rPr>
          <w:rFonts w:asciiTheme="minorHAnsi" w:eastAsiaTheme="minorHAnsi" w:hAnsiTheme="minorHAnsi" w:cstheme="minorBidi"/>
          <w:sz w:val="22"/>
          <w:szCs w:val="22"/>
          <w:lang w:val="es-MX" w:eastAsia="en-US"/>
        </w:rPr>
      </w:pPr>
      <w:r>
        <w:rPr>
          <w:rFonts w:eastAsiaTheme="minorHAnsi"/>
        </w:rPr>
        <w:fldChar w:fldCharType="begin"/>
      </w:r>
      <w:r>
        <w:instrText xml:space="preserve"> LINK </w:instrText>
      </w:r>
      <w:r w:rsidR="003F1813">
        <w:instrText xml:space="preserve">Excel.Sheet.12 "C:\\Users\\UAT\\Documents\\Cuenta Pubica 4to T 2023 - copia\\CUENTA PUBLICA DE LA UNIVERSIDAD AUTONOMA DE TLAXCALA.xlsx" "Conciliacion de Flujos (2)!F2C2:F13C4" </w:instrText>
      </w:r>
      <w:r>
        <w:instrText xml:space="preserve">\a \f 4 \h </w:instrText>
      </w:r>
      <w:r>
        <w:fldChar w:fldCharType="separate"/>
      </w:r>
    </w:p>
    <w:p w:rsidR="005C0400" w:rsidRDefault="006D6C9F" w:rsidP="00786B0E">
      <w:pPr>
        <w:pStyle w:val="INCISO"/>
        <w:spacing w:after="0" w:line="240" w:lineRule="exact"/>
        <w:ind w:left="360"/>
        <w:rPr>
          <w:b/>
          <w:smallCaps/>
        </w:rPr>
      </w:pPr>
      <w:r>
        <w:fldChar w:fldCharType="end"/>
      </w:r>
    </w:p>
    <w:tbl>
      <w:tblPr>
        <w:tblW w:w="9628" w:type="dxa"/>
        <w:tblCellMar>
          <w:left w:w="70" w:type="dxa"/>
          <w:right w:w="70" w:type="dxa"/>
        </w:tblCellMar>
        <w:tblLook w:val="04A0" w:firstRow="1" w:lastRow="0" w:firstColumn="1" w:lastColumn="0" w:noHBand="0" w:noVBand="1"/>
      </w:tblPr>
      <w:tblGrid>
        <w:gridCol w:w="5560"/>
        <w:gridCol w:w="2048"/>
        <w:gridCol w:w="2020"/>
      </w:tblGrid>
      <w:tr w:rsidR="005C0400" w:rsidRPr="005C0400" w:rsidTr="005C0400">
        <w:trPr>
          <w:trHeight w:val="300"/>
        </w:trPr>
        <w:tc>
          <w:tcPr>
            <w:tcW w:w="5560" w:type="dxa"/>
            <w:tcBorders>
              <w:top w:val="single" w:sz="4" w:space="0" w:color="auto"/>
              <w:left w:val="single" w:sz="4" w:space="0" w:color="auto"/>
              <w:bottom w:val="single" w:sz="4" w:space="0" w:color="auto"/>
              <w:right w:val="single" w:sz="4" w:space="0" w:color="auto"/>
            </w:tcBorders>
            <w:shd w:val="clear" w:color="000000" w:fill="632523"/>
            <w:noWrap/>
            <w:vAlign w:val="bottom"/>
            <w:hideMark/>
          </w:tcPr>
          <w:p w:rsidR="005C0400" w:rsidRPr="005C0400" w:rsidRDefault="005C0400" w:rsidP="005C0400">
            <w:pPr>
              <w:spacing w:after="0" w:line="240" w:lineRule="auto"/>
              <w:jc w:val="center"/>
              <w:rPr>
                <w:rFonts w:ascii="Calibri" w:eastAsia="Times New Roman" w:hAnsi="Calibri" w:cs="Times New Roman"/>
                <w:b/>
                <w:bCs/>
                <w:color w:val="FFFFFF"/>
                <w:lang w:eastAsia="es-MX"/>
              </w:rPr>
            </w:pPr>
            <w:r w:rsidRPr="005C0400">
              <w:rPr>
                <w:rFonts w:ascii="Calibri" w:eastAsia="Times New Roman" w:hAnsi="Calibri" w:cs="Times New Roman"/>
                <w:b/>
                <w:bCs/>
                <w:color w:val="FFFFFF"/>
                <w:lang w:eastAsia="es-MX"/>
              </w:rPr>
              <w:t>Nombre de la Cuenta</w:t>
            </w:r>
          </w:p>
        </w:tc>
        <w:tc>
          <w:tcPr>
            <w:tcW w:w="2048" w:type="dxa"/>
            <w:tcBorders>
              <w:top w:val="single" w:sz="4" w:space="0" w:color="auto"/>
              <w:left w:val="nil"/>
              <w:bottom w:val="single" w:sz="4" w:space="0" w:color="auto"/>
              <w:right w:val="single" w:sz="4" w:space="0" w:color="auto"/>
            </w:tcBorders>
            <w:shd w:val="clear" w:color="000000" w:fill="632523"/>
            <w:noWrap/>
            <w:vAlign w:val="bottom"/>
            <w:hideMark/>
          </w:tcPr>
          <w:p w:rsidR="005C0400" w:rsidRPr="005C0400" w:rsidRDefault="005C0400" w:rsidP="005C0400">
            <w:pPr>
              <w:spacing w:after="0" w:line="240" w:lineRule="auto"/>
              <w:jc w:val="center"/>
              <w:rPr>
                <w:rFonts w:ascii="Calibri" w:eastAsia="Times New Roman" w:hAnsi="Calibri" w:cs="Times New Roman"/>
                <w:b/>
                <w:bCs/>
                <w:color w:val="FFFFFF"/>
                <w:lang w:eastAsia="es-MX"/>
              </w:rPr>
            </w:pPr>
            <w:r w:rsidRPr="005C0400">
              <w:rPr>
                <w:rFonts w:ascii="Calibri" w:eastAsia="Times New Roman" w:hAnsi="Calibri" w:cs="Times New Roman"/>
                <w:b/>
                <w:bCs/>
                <w:color w:val="FFFFFF"/>
                <w:lang w:eastAsia="es-MX"/>
              </w:rPr>
              <w:t>2024</w:t>
            </w:r>
          </w:p>
        </w:tc>
        <w:tc>
          <w:tcPr>
            <w:tcW w:w="2020" w:type="dxa"/>
            <w:tcBorders>
              <w:top w:val="single" w:sz="4" w:space="0" w:color="auto"/>
              <w:left w:val="nil"/>
              <w:bottom w:val="single" w:sz="4" w:space="0" w:color="auto"/>
              <w:right w:val="single" w:sz="4" w:space="0" w:color="auto"/>
            </w:tcBorders>
            <w:shd w:val="clear" w:color="000000" w:fill="632523"/>
            <w:noWrap/>
            <w:vAlign w:val="bottom"/>
            <w:hideMark/>
          </w:tcPr>
          <w:p w:rsidR="005C0400" w:rsidRPr="005C0400" w:rsidRDefault="005C0400" w:rsidP="005C0400">
            <w:pPr>
              <w:spacing w:after="0" w:line="240" w:lineRule="auto"/>
              <w:jc w:val="center"/>
              <w:rPr>
                <w:rFonts w:ascii="Calibri" w:eastAsia="Times New Roman" w:hAnsi="Calibri" w:cs="Times New Roman"/>
                <w:b/>
                <w:bCs/>
                <w:color w:val="FFFFFF"/>
                <w:lang w:eastAsia="es-MX"/>
              </w:rPr>
            </w:pPr>
            <w:r w:rsidRPr="005C0400">
              <w:rPr>
                <w:rFonts w:ascii="Calibri" w:eastAsia="Times New Roman" w:hAnsi="Calibri" w:cs="Times New Roman"/>
                <w:b/>
                <w:bCs/>
                <w:color w:val="FFFFFF"/>
                <w:lang w:eastAsia="es-MX"/>
              </w:rPr>
              <w:t>2023</w:t>
            </w:r>
          </w:p>
        </w:tc>
      </w:tr>
      <w:tr w:rsidR="005C0400" w:rsidRPr="005C0400" w:rsidTr="005C0400">
        <w:trPr>
          <w:trHeight w:val="330"/>
        </w:trPr>
        <w:tc>
          <w:tcPr>
            <w:tcW w:w="5560" w:type="dxa"/>
            <w:tcBorders>
              <w:top w:val="nil"/>
              <w:left w:val="single" w:sz="4" w:space="0" w:color="auto"/>
              <w:bottom w:val="single" w:sz="4" w:space="0" w:color="auto"/>
              <w:right w:val="single" w:sz="4" w:space="0" w:color="auto"/>
            </w:tcBorders>
            <w:shd w:val="clear" w:color="auto" w:fill="auto"/>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RESULTADOS DEL EJERCICIO (AHORRO/DESAHORRO)</w:t>
            </w:r>
          </w:p>
        </w:tc>
        <w:tc>
          <w:tcPr>
            <w:tcW w:w="2048" w:type="dxa"/>
            <w:tcBorders>
              <w:top w:val="nil"/>
              <w:left w:val="nil"/>
              <w:bottom w:val="single" w:sz="4" w:space="0" w:color="auto"/>
              <w:right w:val="single" w:sz="4" w:space="0" w:color="auto"/>
            </w:tcBorders>
            <w:shd w:val="clear" w:color="auto" w:fill="auto"/>
            <w:noWrap/>
            <w:vAlign w:val="center"/>
            <w:hideMark/>
          </w:tcPr>
          <w:p w:rsidR="005C0400" w:rsidRPr="005C0400" w:rsidRDefault="005C0400" w:rsidP="005C0400">
            <w:pPr>
              <w:spacing w:after="0" w:line="240" w:lineRule="auto"/>
              <w:jc w:val="right"/>
              <w:rPr>
                <w:rFonts w:ascii="Calibri" w:eastAsia="Times New Roman" w:hAnsi="Calibri" w:cs="Times New Roman"/>
                <w:b/>
                <w:bCs/>
                <w:color w:val="000000"/>
                <w:lang w:eastAsia="es-MX"/>
              </w:rPr>
            </w:pPr>
            <w:r w:rsidRPr="005C0400">
              <w:rPr>
                <w:rFonts w:ascii="Calibri" w:eastAsia="Times New Roman" w:hAnsi="Calibri" w:cs="Times New Roman"/>
                <w:b/>
                <w:bCs/>
                <w:color w:val="000000"/>
                <w:lang w:eastAsia="es-MX"/>
              </w:rPr>
              <w:t>123,877,031</w:t>
            </w:r>
          </w:p>
        </w:tc>
        <w:tc>
          <w:tcPr>
            <w:tcW w:w="2020" w:type="dxa"/>
            <w:tcBorders>
              <w:top w:val="nil"/>
              <w:left w:val="nil"/>
              <w:bottom w:val="single" w:sz="4" w:space="0" w:color="auto"/>
              <w:right w:val="single" w:sz="4" w:space="0" w:color="auto"/>
            </w:tcBorders>
            <w:shd w:val="clear" w:color="auto" w:fill="auto"/>
            <w:noWrap/>
            <w:vAlign w:val="center"/>
            <w:hideMark/>
          </w:tcPr>
          <w:p w:rsidR="005C0400" w:rsidRPr="005C0400" w:rsidRDefault="005C0400" w:rsidP="005C0400">
            <w:pPr>
              <w:spacing w:after="0" w:line="240" w:lineRule="auto"/>
              <w:jc w:val="right"/>
              <w:rPr>
                <w:rFonts w:ascii="Calibri" w:eastAsia="Times New Roman" w:hAnsi="Calibri" w:cs="Times New Roman"/>
                <w:b/>
                <w:bCs/>
                <w:color w:val="000000"/>
                <w:lang w:eastAsia="es-MX"/>
              </w:rPr>
            </w:pPr>
            <w:r w:rsidRPr="005C0400">
              <w:rPr>
                <w:rFonts w:ascii="Calibri" w:eastAsia="Times New Roman" w:hAnsi="Calibri" w:cs="Times New Roman"/>
                <w:b/>
                <w:bCs/>
                <w:color w:val="000000"/>
                <w:lang w:eastAsia="es-MX"/>
              </w:rPr>
              <w:t>63,668,388</w:t>
            </w:r>
          </w:p>
        </w:tc>
      </w:tr>
      <w:tr w:rsidR="005C0400" w:rsidRPr="005C0400" w:rsidTr="005C0400">
        <w:trPr>
          <w:trHeight w:val="630"/>
        </w:trPr>
        <w:tc>
          <w:tcPr>
            <w:tcW w:w="5560" w:type="dxa"/>
            <w:tcBorders>
              <w:top w:val="nil"/>
              <w:left w:val="single" w:sz="4" w:space="0" w:color="auto"/>
              <w:bottom w:val="single" w:sz="4" w:space="0" w:color="auto"/>
              <w:right w:val="single" w:sz="4" w:space="0" w:color="auto"/>
            </w:tcBorders>
            <w:shd w:val="clear" w:color="auto" w:fill="auto"/>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xml:space="preserve">(+) MOVIMIENTOS DE PARTIDAS QUE NO AFECTAN AL EFECTIVO </w:t>
            </w:r>
          </w:p>
        </w:tc>
        <w:tc>
          <w:tcPr>
            <w:tcW w:w="2048"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xml:space="preserve">                       3,994,779 </w:t>
            </w:r>
          </w:p>
        </w:tc>
        <w:tc>
          <w:tcPr>
            <w:tcW w:w="2020"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xml:space="preserve">                    35,417,157 </w:t>
            </w:r>
          </w:p>
        </w:tc>
      </w:tr>
      <w:tr w:rsidR="005C0400" w:rsidRPr="005C0400" w:rsidTr="005C0400">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INTERESES, COMISIONES Y OTROS GASTOS DE LA DEUDA PUBLICA</w:t>
            </w:r>
          </w:p>
        </w:tc>
        <w:tc>
          <w:tcPr>
            <w:tcW w:w="2048" w:type="dxa"/>
            <w:tcBorders>
              <w:top w:val="nil"/>
              <w:left w:val="nil"/>
              <w:bottom w:val="single" w:sz="4" w:space="0" w:color="auto"/>
              <w:right w:val="single" w:sz="4" w:space="0" w:color="auto"/>
            </w:tcBorders>
            <w:shd w:val="clear" w:color="auto" w:fill="auto"/>
            <w:noWrap/>
            <w:vAlign w:val="center"/>
            <w:hideMark/>
          </w:tcPr>
          <w:p w:rsidR="005C0400" w:rsidRPr="005C0400" w:rsidRDefault="005C0400" w:rsidP="005C0400">
            <w:pPr>
              <w:spacing w:after="0" w:line="240" w:lineRule="auto"/>
              <w:jc w:val="right"/>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0</w:t>
            </w:r>
          </w:p>
        </w:tc>
        <w:tc>
          <w:tcPr>
            <w:tcW w:w="2020" w:type="dxa"/>
            <w:tcBorders>
              <w:top w:val="nil"/>
              <w:left w:val="nil"/>
              <w:bottom w:val="single" w:sz="4" w:space="0" w:color="auto"/>
              <w:right w:val="single" w:sz="4" w:space="0" w:color="auto"/>
            </w:tcBorders>
            <w:shd w:val="clear" w:color="auto" w:fill="auto"/>
            <w:noWrap/>
            <w:vAlign w:val="center"/>
            <w:hideMark/>
          </w:tcPr>
          <w:p w:rsidR="005C0400" w:rsidRPr="005C0400" w:rsidRDefault="005C0400" w:rsidP="005C0400">
            <w:pPr>
              <w:spacing w:after="0" w:line="240" w:lineRule="auto"/>
              <w:jc w:val="right"/>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0</w:t>
            </w:r>
          </w:p>
        </w:tc>
      </w:tr>
      <w:tr w:rsidR="005C0400" w:rsidRPr="005C0400" w:rsidTr="005C0400">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xml:space="preserve">OTROS GASTOS Y PERDIDAS EXTRAORDINARIAS </w:t>
            </w:r>
          </w:p>
        </w:tc>
        <w:tc>
          <w:tcPr>
            <w:tcW w:w="2048" w:type="dxa"/>
            <w:tcBorders>
              <w:top w:val="nil"/>
              <w:left w:val="nil"/>
              <w:bottom w:val="single" w:sz="4" w:space="0" w:color="auto"/>
              <w:right w:val="single" w:sz="4" w:space="0" w:color="auto"/>
            </w:tcBorders>
            <w:shd w:val="clear" w:color="auto" w:fill="auto"/>
            <w:noWrap/>
            <w:vAlign w:val="center"/>
            <w:hideMark/>
          </w:tcPr>
          <w:p w:rsidR="005C0400" w:rsidRPr="005C0400" w:rsidRDefault="005C0400" w:rsidP="005C0400">
            <w:pPr>
              <w:spacing w:after="0" w:line="240" w:lineRule="auto"/>
              <w:jc w:val="right"/>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0</w:t>
            </w:r>
          </w:p>
        </w:tc>
        <w:tc>
          <w:tcPr>
            <w:tcW w:w="2020"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xml:space="preserve">                    13,786,749 </w:t>
            </w:r>
          </w:p>
        </w:tc>
      </w:tr>
      <w:tr w:rsidR="005C0400" w:rsidRPr="005C0400" w:rsidTr="005C0400">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xml:space="preserve">INVERSIÓN PÚBLICA   </w:t>
            </w:r>
          </w:p>
        </w:tc>
        <w:tc>
          <w:tcPr>
            <w:tcW w:w="2048" w:type="dxa"/>
            <w:tcBorders>
              <w:top w:val="nil"/>
              <w:left w:val="nil"/>
              <w:bottom w:val="single" w:sz="4" w:space="0" w:color="auto"/>
              <w:right w:val="single" w:sz="4" w:space="0" w:color="auto"/>
            </w:tcBorders>
            <w:shd w:val="clear" w:color="auto" w:fill="auto"/>
            <w:noWrap/>
            <w:vAlign w:val="center"/>
            <w:hideMark/>
          </w:tcPr>
          <w:p w:rsidR="005C0400" w:rsidRPr="005C0400" w:rsidRDefault="005C0400" w:rsidP="005C0400">
            <w:pPr>
              <w:spacing w:after="0" w:line="240" w:lineRule="auto"/>
              <w:jc w:val="right"/>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0</w:t>
            </w:r>
          </w:p>
        </w:tc>
        <w:tc>
          <w:tcPr>
            <w:tcW w:w="2020" w:type="dxa"/>
            <w:tcBorders>
              <w:top w:val="nil"/>
              <w:left w:val="nil"/>
              <w:bottom w:val="single" w:sz="4" w:space="0" w:color="auto"/>
              <w:right w:val="single" w:sz="4" w:space="0" w:color="auto"/>
            </w:tcBorders>
            <w:shd w:val="clear" w:color="auto" w:fill="auto"/>
            <w:noWrap/>
            <w:vAlign w:val="center"/>
            <w:hideMark/>
          </w:tcPr>
          <w:p w:rsidR="005C0400" w:rsidRPr="005C0400" w:rsidRDefault="005C0400" w:rsidP="005C0400">
            <w:pPr>
              <w:spacing w:after="0" w:line="240" w:lineRule="auto"/>
              <w:jc w:val="right"/>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0</w:t>
            </w:r>
          </w:p>
        </w:tc>
      </w:tr>
      <w:tr w:rsidR="005C0400" w:rsidRPr="005C0400" w:rsidTr="005C0400">
        <w:trPr>
          <w:trHeight w:val="60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INCREMENTOS EN CUENTAS POR PAGAR DE ACTIVIDADES DE OPERACIÓN</w:t>
            </w:r>
          </w:p>
        </w:tc>
        <w:tc>
          <w:tcPr>
            <w:tcW w:w="2048"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b/>
                <w:bCs/>
                <w:color w:val="000000"/>
                <w:lang w:eastAsia="es-MX"/>
              </w:rPr>
            </w:pPr>
            <w:r w:rsidRPr="005C0400">
              <w:rPr>
                <w:rFonts w:ascii="Calibri" w:eastAsia="Times New Roman" w:hAnsi="Calibri" w:cs="Times New Roman"/>
                <w:b/>
                <w:bCs/>
                <w:color w:val="000000"/>
                <w:lang w:eastAsia="es-MX"/>
              </w:rPr>
              <w:t xml:space="preserve">                       3,994,779 </w:t>
            </w:r>
          </w:p>
        </w:tc>
        <w:tc>
          <w:tcPr>
            <w:tcW w:w="2020"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b/>
                <w:bCs/>
                <w:color w:val="000000"/>
                <w:lang w:eastAsia="es-MX"/>
              </w:rPr>
            </w:pPr>
            <w:r w:rsidRPr="005C0400">
              <w:rPr>
                <w:rFonts w:ascii="Calibri" w:eastAsia="Times New Roman" w:hAnsi="Calibri" w:cs="Times New Roman"/>
                <w:b/>
                <w:bCs/>
                <w:color w:val="000000"/>
                <w:lang w:eastAsia="es-MX"/>
              </w:rPr>
              <w:t xml:space="preserve">                    21,630,408 </w:t>
            </w:r>
          </w:p>
        </w:tc>
      </w:tr>
      <w:tr w:rsidR="005C0400" w:rsidRPr="005C0400" w:rsidTr="005C0400">
        <w:trPr>
          <w:trHeight w:val="60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MOVIMIENTOS DE PARTIDAS QUE NO AFECTAN AL EFECTIVO</w:t>
            </w:r>
          </w:p>
        </w:tc>
        <w:tc>
          <w:tcPr>
            <w:tcW w:w="2048"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jc w:val="right"/>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0</w:t>
            </w:r>
          </w:p>
        </w:tc>
        <w:tc>
          <w:tcPr>
            <w:tcW w:w="2020"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xml:space="preserve">                                      -   </w:t>
            </w:r>
          </w:p>
        </w:tc>
      </w:tr>
      <w:tr w:rsidR="005C0400" w:rsidRPr="005C0400" w:rsidTr="005C0400">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xml:space="preserve">INGRESOS DE OPERACIÓN NO PRESUPUESTARIOS </w:t>
            </w:r>
          </w:p>
        </w:tc>
        <w:tc>
          <w:tcPr>
            <w:tcW w:w="2048"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jc w:val="right"/>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0</w:t>
            </w:r>
          </w:p>
        </w:tc>
        <w:tc>
          <w:tcPr>
            <w:tcW w:w="2020"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xml:space="preserve">                                      -   </w:t>
            </w:r>
          </w:p>
        </w:tc>
      </w:tr>
      <w:tr w:rsidR="005C0400" w:rsidRPr="005C0400" w:rsidTr="005C0400">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xml:space="preserve">GASTOS DE OPERACIÓN NO CONTABLES   </w:t>
            </w:r>
          </w:p>
        </w:tc>
        <w:tc>
          <w:tcPr>
            <w:tcW w:w="2048"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jc w:val="right"/>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0</w:t>
            </w:r>
          </w:p>
        </w:tc>
        <w:tc>
          <w:tcPr>
            <w:tcW w:w="2020"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jc w:val="right"/>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0</w:t>
            </w:r>
          </w:p>
        </w:tc>
      </w:tr>
      <w:tr w:rsidR="005C0400" w:rsidRPr="005C0400" w:rsidTr="005C0400">
        <w:trPr>
          <w:trHeight w:val="60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INCREMENTOS EN CUENTAS POR COBRAR DE ACTIVIDADES DE OPERACIÓN</w:t>
            </w:r>
          </w:p>
        </w:tc>
        <w:tc>
          <w:tcPr>
            <w:tcW w:w="2048"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jc w:val="right"/>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0</w:t>
            </w:r>
          </w:p>
        </w:tc>
        <w:tc>
          <w:tcPr>
            <w:tcW w:w="2020"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jc w:val="right"/>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0</w:t>
            </w:r>
          </w:p>
        </w:tc>
      </w:tr>
      <w:tr w:rsidR="005C0400" w:rsidRPr="005C0400" w:rsidTr="005C0400">
        <w:trPr>
          <w:trHeight w:val="60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xml:space="preserve">(=) FLUJOS DE EFECTIVO NETOS DE LAS ACTIVIDADES DE OPERACIÓN </w:t>
            </w:r>
          </w:p>
        </w:tc>
        <w:tc>
          <w:tcPr>
            <w:tcW w:w="2048"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b/>
                <w:bCs/>
                <w:color w:val="000000"/>
                <w:lang w:eastAsia="es-MX"/>
              </w:rPr>
            </w:pPr>
            <w:r w:rsidRPr="005C0400">
              <w:rPr>
                <w:rFonts w:ascii="Calibri" w:eastAsia="Times New Roman" w:hAnsi="Calibri" w:cs="Times New Roman"/>
                <w:b/>
                <w:bCs/>
                <w:color w:val="000000"/>
                <w:lang w:eastAsia="es-MX"/>
              </w:rPr>
              <w:t xml:space="preserve">                  127,871,810 </w:t>
            </w:r>
          </w:p>
        </w:tc>
        <w:tc>
          <w:tcPr>
            <w:tcW w:w="2020"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b/>
                <w:bCs/>
                <w:color w:val="000000"/>
                <w:lang w:eastAsia="es-MX"/>
              </w:rPr>
            </w:pPr>
            <w:r w:rsidRPr="005C0400">
              <w:rPr>
                <w:rFonts w:ascii="Calibri" w:eastAsia="Times New Roman" w:hAnsi="Calibri" w:cs="Times New Roman"/>
                <w:b/>
                <w:bCs/>
                <w:color w:val="000000"/>
                <w:lang w:eastAsia="es-MX"/>
              </w:rPr>
              <w:t xml:space="preserve">                    99,085,545 </w:t>
            </w:r>
          </w:p>
        </w:tc>
      </w:tr>
    </w:tbl>
    <w:p w:rsidR="005455E1" w:rsidRDefault="005455E1" w:rsidP="00786B0E">
      <w:pPr>
        <w:pStyle w:val="INCISO"/>
        <w:spacing w:after="0" w:line="240" w:lineRule="exact"/>
        <w:ind w:left="360"/>
        <w:rPr>
          <w:b/>
          <w:smallCaps/>
        </w:rPr>
      </w:pPr>
    </w:p>
    <w:p w:rsidR="005455E1" w:rsidRDefault="005455E1" w:rsidP="00786B0E">
      <w:pPr>
        <w:pStyle w:val="INCISO"/>
        <w:spacing w:after="0" w:line="240" w:lineRule="exact"/>
        <w:ind w:left="360"/>
        <w:rPr>
          <w:b/>
          <w:smallCaps/>
        </w:rPr>
      </w:pPr>
    </w:p>
    <w:p w:rsidR="005455E1" w:rsidRDefault="005455E1"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5C0400" w:rsidRDefault="005C0400" w:rsidP="00786B0E">
      <w:pPr>
        <w:pStyle w:val="INCISO"/>
        <w:spacing w:after="0" w:line="240" w:lineRule="exact"/>
        <w:ind w:left="360"/>
        <w:rPr>
          <w:b/>
          <w:smallCaps/>
        </w:rPr>
      </w:pPr>
    </w:p>
    <w:p w:rsidR="00786B0E" w:rsidRPr="007614B3" w:rsidRDefault="00786B0E" w:rsidP="00786B0E">
      <w:pPr>
        <w:pStyle w:val="INCISO"/>
        <w:spacing w:after="0" w:line="240" w:lineRule="exact"/>
        <w:ind w:left="360"/>
        <w:rPr>
          <w:b/>
          <w:smallCaps/>
        </w:rPr>
      </w:pPr>
      <w:r w:rsidRPr="007614B3">
        <w:rPr>
          <w:b/>
          <w:smallCaps/>
        </w:rPr>
        <w:t>V) Conciliación entre los ingresos presupuestarios y contables, así como entre los egresos presupuestarios y los gastos contables</w:t>
      </w:r>
    </w:p>
    <w:p w:rsidR="00786B0E" w:rsidRPr="007614B3" w:rsidRDefault="00786B0E" w:rsidP="00786B0E">
      <w:pPr>
        <w:pStyle w:val="Texto"/>
        <w:spacing w:after="0" w:line="240" w:lineRule="exact"/>
        <w:jc w:val="center"/>
        <w:rPr>
          <w:b/>
          <w:smallCaps/>
          <w:szCs w:val="18"/>
          <w:lang w:val="es-MX"/>
        </w:rPr>
      </w:pPr>
    </w:p>
    <w:p w:rsidR="00786B0E" w:rsidRDefault="00786B0E" w:rsidP="00786B0E">
      <w:pPr>
        <w:pStyle w:val="Texto"/>
        <w:spacing w:after="0" w:line="240" w:lineRule="exact"/>
        <w:rPr>
          <w:noProof/>
          <w:lang w:eastAsia="es-MX"/>
        </w:rPr>
      </w:pPr>
      <w:r w:rsidRPr="007614B3">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r>
        <w:rPr>
          <w:noProof/>
          <w:lang w:eastAsia="es-MX"/>
        </w:rPr>
        <w:t xml:space="preserve"> </w:t>
      </w:r>
    </w:p>
    <w:p w:rsidR="005455E1" w:rsidRDefault="005455E1" w:rsidP="005C0400">
      <w:pPr>
        <w:rPr>
          <w:noProof/>
          <w:lang w:eastAsia="es-MX"/>
        </w:rPr>
      </w:pPr>
    </w:p>
    <w:tbl>
      <w:tblPr>
        <w:tblW w:w="8020" w:type="dxa"/>
        <w:jc w:val="center"/>
        <w:tblCellMar>
          <w:left w:w="70" w:type="dxa"/>
          <w:right w:w="70" w:type="dxa"/>
        </w:tblCellMar>
        <w:tblLook w:val="04A0" w:firstRow="1" w:lastRow="0" w:firstColumn="1" w:lastColumn="0" w:noHBand="0" w:noVBand="1"/>
      </w:tblPr>
      <w:tblGrid>
        <w:gridCol w:w="1172"/>
        <w:gridCol w:w="4966"/>
        <w:gridCol w:w="1882"/>
      </w:tblGrid>
      <w:tr w:rsidR="005C0400" w:rsidRPr="005C0400" w:rsidTr="005C0400">
        <w:trPr>
          <w:trHeight w:val="300"/>
          <w:jc w:val="center"/>
        </w:trPr>
        <w:tc>
          <w:tcPr>
            <w:tcW w:w="8020" w:type="dxa"/>
            <w:gridSpan w:val="3"/>
            <w:tcBorders>
              <w:top w:val="single" w:sz="4" w:space="0" w:color="auto"/>
              <w:left w:val="single" w:sz="4" w:space="0" w:color="auto"/>
              <w:bottom w:val="nil"/>
              <w:right w:val="single" w:sz="4" w:space="0" w:color="000000"/>
            </w:tcBorders>
            <w:shd w:val="clear" w:color="000000" w:fill="632523"/>
            <w:noWrap/>
            <w:vAlign w:val="center"/>
            <w:hideMark/>
          </w:tcPr>
          <w:p w:rsidR="005C0400" w:rsidRPr="005C0400" w:rsidRDefault="005C0400" w:rsidP="005C0400">
            <w:pPr>
              <w:spacing w:after="0" w:line="240" w:lineRule="auto"/>
              <w:jc w:val="center"/>
              <w:rPr>
                <w:rFonts w:ascii="Arial" w:eastAsia="Times New Roman" w:hAnsi="Arial" w:cs="Arial"/>
                <w:b/>
                <w:bCs/>
                <w:color w:val="FFFFFF"/>
                <w:sz w:val="18"/>
                <w:szCs w:val="18"/>
                <w:lang w:eastAsia="es-MX"/>
              </w:rPr>
            </w:pPr>
            <w:r w:rsidRPr="005C0400">
              <w:rPr>
                <w:rFonts w:ascii="Arial" w:eastAsia="Times New Roman" w:hAnsi="Arial" w:cs="Arial"/>
                <w:b/>
                <w:bCs/>
                <w:color w:val="FFFFFF"/>
                <w:sz w:val="18"/>
                <w:szCs w:val="18"/>
                <w:lang w:eastAsia="es-MX"/>
              </w:rPr>
              <w:t>CONCILIACIÓN ENTRE LOS INGRESOS PRESUPUESTARIOS Y CONTABLES</w:t>
            </w:r>
          </w:p>
        </w:tc>
      </w:tr>
      <w:tr w:rsidR="005C0400" w:rsidRPr="005C0400" w:rsidTr="005C0400">
        <w:trPr>
          <w:trHeight w:val="300"/>
          <w:jc w:val="center"/>
        </w:trPr>
        <w:tc>
          <w:tcPr>
            <w:tcW w:w="8020" w:type="dxa"/>
            <w:gridSpan w:val="3"/>
            <w:tcBorders>
              <w:top w:val="nil"/>
              <w:left w:val="single" w:sz="4" w:space="0" w:color="auto"/>
              <w:bottom w:val="nil"/>
              <w:right w:val="single" w:sz="4" w:space="0" w:color="000000"/>
            </w:tcBorders>
            <w:shd w:val="clear" w:color="000000" w:fill="632523"/>
            <w:noWrap/>
            <w:vAlign w:val="center"/>
            <w:hideMark/>
          </w:tcPr>
          <w:p w:rsidR="005C0400" w:rsidRPr="005C0400" w:rsidRDefault="005C0400" w:rsidP="005C0400">
            <w:pPr>
              <w:spacing w:after="0" w:line="240" w:lineRule="auto"/>
              <w:jc w:val="center"/>
              <w:rPr>
                <w:rFonts w:ascii="Arial" w:eastAsia="Times New Roman" w:hAnsi="Arial" w:cs="Arial"/>
                <w:b/>
                <w:bCs/>
                <w:color w:val="FFFFFF"/>
                <w:sz w:val="18"/>
                <w:szCs w:val="18"/>
                <w:lang w:eastAsia="es-MX"/>
              </w:rPr>
            </w:pPr>
            <w:r w:rsidRPr="005C0400">
              <w:rPr>
                <w:rFonts w:ascii="Arial" w:eastAsia="Times New Roman" w:hAnsi="Arial" w:cs="Arial"/>
                <w:b/>
                <w:bCs/>
                <w:color w:val="FFFFFF"/>
                <w:sz w:val="18"/>
                <w:szCs w:val="18"/>
                <w:lang w:eastAsia="es-MX"/>
              </w:rPr>
              <w:t>Al 31 de marzo de 2024</w:t>
            </w:r>
          </w:p>
        </w:tc>
      </w:tr>
      <w:tr w:rsidR="005C0400" w:rsidRPr="005C0400" w:rsidTr="005C0400">
        <w:trPr>
          <w:trHeight w:val="300"/>
          <w:jc w:val="center"/>
        </w:trPr>
        <w:tc>
          <w:tcPr>
            <w:tcW w:w="8020" w:type="dxa"/>
            <w:gridSpan w:val="3"/>
            <w:tcBorders>
              <w:top w:val="nil"/>
              <w:left w:val="single" w:sz="4" w:space="0" w:color="auto"/>
              <w:bottom w:val="nil"/>
              <w:right w:val="single" w:sz="4" w:space="0" w:color="000000"/>
            </w:tcBorders>
            <w:shd w:val="clear" w:color="000000" w:fill="632523"/>
            <w:noWrap/>
            <w:vAlign w:val="center"/>
            <w:hideMark/>
          </w:tcPr>
          <w:p w:rsidR="005C0400" w:rsidRPr="005C0400" w:rsidRDefault="005C0400" w:rsidP="005C0400">
            <w:pPr>
              <w:spacing w:after="0" w:line="240" w:lineRule="auto"/>
              <w:jc w:val="center"/>
              <w:rPr>
                <w:rFonts w:ascii="Arial" w:eastAsia="Times New Roman" w:hAnsi="Arial" w:cs="Arial"/>
                <w:b/>
                <w:bCs/>
                <w:color w:val="FFFFFF"/>
                <w:sz w:val="18"/>
                <w:szCs w:val="18"/>
                <w:lang w:eastAsia="es-MX"/>
              </w:rPr>
            </w:pPr>
            <w:r w:rsidRPr="005C0400">
              <w:rPr>
                <w:rFonts w:ascii="Arial" w:eastAsia="Times New Roman" w:hAnsi="Arial" w:cs="Arial"/>
                <w:b/>
                <w:bCs/>
                <w:color w:val="FFFFFF"/>
                <w:sz w:val="18"/>
                <w:szCs w:val="18"/>
                <w:lang w:eastAsia="es-MX"/>
              </w:rPr>
              <w:t>(Pesos)</w:t>
            </w:r>
          </w:p>
        </w:tc>
      </w:tr>
      <w:tr w:rsidR="005C0400" w:rsidRPr="005C0400" w:rsidTr="005C0400">
        <w:trPr>
          <w:trHeight w:val="300"/>
          <w:jc w:val="center"/>
        </w:trPr>
        <w:tc>
          <w:tcPr>
            <w:tcW w:w="1172" w:type="dxa"/>
            <w:tcBorders>
              <w:top w:val="nil"/>
              <w:left w:val="single" w:sz="4" w:space="0" w:color="auto"/>
              <w:bottom w:val="nil"/>
              <w:right w:val="nil"/>
            </w:tcBorders>
            <w:shd w:val="clear" w:color="000000" w:fill="632523"/>
            <w:noWrap/>
            <w:vAlign w:val="bottom"/>
            <w:hideMark/>
          </w:tcPr>
          <w:p w:rsidR="005C0400" w:rsidRPr="005C0400" w:rsidRDefault="005C0400" w:rsidP="005C0400">
            <w:pPr>
              <w:spacing w:after="0" w:line="240" w:lineRule="auto"/>
              <w:jc w:val="center"/>
              <w:rPr>
                <w:rFonts w:ascii="Arial" w:eastAsia="Times New Roman" w:hAnsi="Arial" w:cs="Arial"/>
                <w:b/>
                <w:bCs/>
                <w:color w:val="FFFFFF"/>
                <w:sz w:val="18"/>
                <w:szCs w:val="18"/>
                <w:lang w:eastAsia="es-MX"/>
              </w:rPr>
            </w:pPr>
            <w:r w:rsidRPr="005C0400">
              <w:rPr>
                <w:rFonts w:ascii="Arial" w:eastAsia="Times New Roman" w:hAnsi="Arial" w:cs="Arial"/>
                <w:b/>
                <w:bCs/>
                <w:color w:val="FFFFFF"/>
                <w:sz w:val="18"/>
                <w:szCs w:val="18"/>
                <w:lang w:eastAsia="es-MX"/>
              </w:rPr>
              <w:t>Ente Público:</w:t>
            </w:r>
          </w:p>
        </w:tc>
        <w:tc>
          <w:tcPr>
            <w:tcW w:w="6848" w:type="dxa"/>
            <w:gridSpan w:val="2"/>
            <w:tcBorders>
              <w:top w:val="nil"/>
              <w:left w:val="nil"/>
              <w:bottom w:val="single" w:sz="4" w:space="0" w:color="auto"/>
              <w:right w:val="single" w:sz="4" w:space="0" w:color="000000"/>
            </w:tcBorders>
            <w:shd w:val="clear" w:color="000000" w:fill="632523"/>
            <w:noWrap/>
            <w:vAlign w:val="bottom"/>
            <w:hideMark/>
          </w:tcPr>
          <w:p w:rsidR="005C0400" w:rsidRPr="005C0400" w:rsidRDefault="005C0400" w:rsidP="005C0400">
            <w:pPr>
              <w:spacing w:after="0" w:line="240" w:lineRule="auto"/>
              <w:jc w:val="center"/>
              <w:rPr>
                <w:rFonts w:ascii="Arial" w:eastAsia="Times New Roman" w:hAnsi="Arial" w:cs="Arial"/>
                <w:b/>
                <w:bCs/>
                <w:color w:val="FFFFFF"/>
                <w:sz w:val="18"/>
                <w:szCs w:val="18"/>
                <w:lang w:eastAsia="es-MX"/>
              </w:rPr>
            </w:pPr>
            <w:r w:rsidRPr="005C0400">
              <w:rPr>
                <w:rFonts w:ascii="Arial" w:eastAsia="Times New Roman" w:hAnsi="Arial" w:cs="Arial"/>
                <w:b/>
                <w:bCs/>
                <w:color w:val="FFFFFF"/>
                <w:sz w:val="18"/>
                <w:szCs w:val="18"/>
                <w:lang w:eastAsia="es-MX"/>
              </w:rPr>
              <w:t xml:space="preserve"> Universidad Autónoma de Tlaxcala</w:t>
            </w:r>
          </w:p>
        </w:tc>
      </w:tr>
      <w:tr w:rsidR="005C0400" w:rsidRPr="005C0400" w:rsidTr="005C0400">
        <w:trPr>
          <w:trHeight w:val="300"/>
          <w:jc w:val="center"/>
        </w:trPr>
        <w:tc>
          <w:tcPr>
            <w:tcW w:w="1172" w:type="dxa"/>
            <w:tcBorders>
              <w:top w:val="nil"/>
              <w:left w:val="single" w:sz="4" w:space="0" w:color="auto"/>
              <w:bottom w:val="single" w:sz="4" w:space="0" w:color="auto"/>
              <w:right w:val="nil"/>
            </w:tcBorders>
            <w:shd w:val="clear" w:color="000000" w:fill="632523"/>
            <w:noWrap/>
            <w:vAlign w:val="bottom"/>
            <w:hideMark/>
          </w:tcPr>
          <w:p w:rsidR="005C0400" w:rsidRPr="005C0400" w:rsidRDefault="005C0400" w:rsidP="005C0400">
            <w:pPr>
              <w:spacing w:after="0" w:line="240" w:lineRule="auto"/>
              <w:jc w:val="center"/>
              <w:rPr>
                <w:rFonts w:ascii="Arial" w:eastAsia="Times New Roman" w:hAnsi="Arial" w:cs="Arial"/>
                <w:b/>
                <w:bCs/>
                <w:color w:val="FFFFFF"/>
                <w:sz w:val="18"/>
                <w:szCs w:val="18"/>
                <w:lang w:eastAsia="es-MX"/>
              </w:rPr>
            </w:pPr>
            <w:r w:rsidRPr="005C0400">
              <w:rPr>
                <w:rFonts w:ascii="Arial" w:eastAsia="Times New Roman" w:hAnsi="Arial" w:cs="Arial"/>
                <w:b/>
                <w:bCs/>
                <w:color w:val="FFFFFF"/>
                <w:sz w:val="18"/>
                <w:szCs w:val="18"/>
                <w:lang w:eastAsia="es-MX"/>
              </w:rPr>
              <w:t> </w:t>
            </w:r>
          </w:p>
        </w:tc>
        <w:tc>
          <w:tcPr>
            <w:tcW w:w="4966" w:type="dxa"/>
            <w:tcBorders>
              <w:top w:val="nil"/>
              <w:left w:val="nil"/>
              <w:bottom w:val="single" w:sz="4" w:space="0" w:color="auto"/>
              <w:right w:val="nil"/>
            </w:tcBorders>
            <w:shd w:val="clear" w:color="000000" w:fill="632523"/>
            <w:noWrap/>
            <w:vAlign w:val="bottom"/>
            <w:hideMark/>
          </w:tcPr>
          <w:p w:rsidR="005C0400" w:rsidRPr="005C0400" w:rsidRDefault="005C0400" w:rsidP="005C0400">
            <w:pPr>
              <w:spacing w:after="0" w:line="240" w:lineRule="auto"/>
              <w:jc w:val="center"/>
              <w:rPr>
                <w:rFonts w:ascii="Arial" w:eastAsia="Times New Roman" w:hAnsi="Arial" w:cs="Arial"/>
                <w:b/>
                <w:bCs/>
                <w:color w:val="FFFFFF"/>
                <w:sz w:val="18"/>
                <w:szCs w:val="18"/>
                <w:lang w:eastAsia="es-MX"/>
              </w:rPr>
            </w:pPr>
            <w:r w:rsidRPr="005C0400">
              <w:rPr>
                <w:rFonts w:ascii="Arial" w:eastAsia="Times New Roman" w:hAnsi="Arial" w:cs="Arial"/>
                <w:b/>
                <w:bCs/>
                <w:color w:val="FFFFFF"/>
                <w:sz w:val="18"/>
                <w:szCs w:val="18"/>
                <w:lang w:eastAsia="es-MX"/>
              </w:rPr>
              <w:t> </w:t>
            </w:r>
          </w:p>
        </w:tc>
        <w:tc>
          <w:tcPr>
            <w:tcW w:w="1882" w:type="dxa"/>
            <w:tcBorders>
              <w:top w:val="nil"/>
              <w:left w:val="nil"/>
              <w:bottom w:val="single" w:sz="4" w:space="0" w:color="auto"/>
              <w:right w:val="single" w:sz="4" w:space="0" w:color="auto"/>
            </w:tcBorders>
            <w:shd w:val="clear" w:color="000000" w:fill="632523"/>
            <w:noWrap/>
            <w:vAlign w:val="bottom"/>
            <w:hideMark/>
          </w:tcPr>
          <w:p w:rsidR="005C0400" w:rsidRPr="005C0400" w:rsidRDefault="005C0400" w:rsidP="005C0400">
            <w:pPr>
              <w:spacing w:after="0" w:line="240" w:lineRule="auto"/>
              <w:jc w:val="center"/>
              <w:rPr>
                <w:rFonts w:ascii="Arial" w:eastAsia="Times New Roman" w:hAnsi="Arial" w:cs="Arial"/>
                <w:b/>
                <w:bCs/>
                <w:color w:val="FFFFFF"/>
                <w:sz w:val="18"/>
                <w:szCs w:val="18"/>
                <w:lang w:eastAsia="es-MX"/>
              </w:rPr>
            </w:pPr>
            <w:r w:rsidRPr="005C0400">
              <w:rPr>
                <w:rFonts w:ascii="Arial" w:eastAsia="Times New Roman" w:hAnsi="Arial" w:cs="Arial"/>
                <w:b/>
                <w:bCs/>
                <w:color w:val="FFFFFF"/>
                <w:sz w:val="18"/>
                <w:szCs w:val="18"/>
                <w:lang w:eastAsia="es-MX"/>
              </w:rPr>
              <w:t> </w:t>
            </w:r>
          </w:p>
        </w:tc>
      </w:tr>
      <w:tr w:rsidR="005C0400" w:rsidRPr="005C0400" w:rsidTr="005C0400">
        <w:trPr>
          <w:trHeight w:val="300"/>
          <w:jc w:val="center"/>
        </w:trPr>
        <w:tc>
          <w:tcPr>
            <w:tcW w:w="61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jc w:val="center"/>
              <w:rPr>
                <w:rFonts w:ascii="Calibri" w:eastAsia="Times New Roman" w:hAnsi="Calibri" w:cs="Times New Roman"/>
                <w:b/>
                <w:bCs/>
                <w:color w:val="000000"/>
                <w:lang w:eastAsia="es-MX"/>
              </w:rPr>
            </w:pPr>
            <w:r w:rsidRPr="005C0400">
              <w:rPr>
                <w:rFonts w:ascii="Calibri" w:eastAsia="Times New Roman" w:hAnsi="Calibri" w:cs="Times New Roman"/>
                <w:b/>
                <w:bCs/>
                <w:color w:val="000000"/>
                <w:lang w:eastAsia="es-MX"/>
              </w:rPr>
              <w:t>1. Total de Ingresos Presupuestarios</w:t>
            </w:r>
          </w:p>
        </w:tc>
        <w:tc>
          <w:tcPr>
            <w:tcW w:w="1882"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jc w:val="right"/>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348,161,097</w:t>
            </w:r>
          </w:p>
        </w:tc>
      </w:tr>
      <w:tr w:rsidR="005C0400" w:rsidRPr="005C0400" w:rsidTr="005C0400">
        <w:trPr>
          <w:trHeight w:val="300"/>
          <w:jc w:val="center"/>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w:t>
            </w:r>
          </w:p>
        </w:tc>
        <w:tc>
          <w:tcPr>
            <w:tcW w:w="4966"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w:t>
            </w:r>
          </w:p>
        </w:tc>
        <w:tc>
          <w:tcPr>
            <w:tcW w:w="1882"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w:t>
            </w:r>
          </w:p>
        </w:tc>
      </w:tr>
      <w:tr w:rsidR="005C0400" w:rsidRPr="005C0400" w:rsidTr="005C0400">
        <w:trPr>
          <w:trHeight w:val="300"/>
          <w:jc w:val="center"/>
        </w:trPr>
        <w:tc>
          <w:tcPr>
            <w:tcW w:w="61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jc w:val="center"/>
              <w:rPr>
                <w:rFonts w:ascii="Calibri" w:eastAsia="Times New Roman" w:hAnsi="Calibri" w:cs="Times New Roman"/>
                <w:b/>
                <w:bCs/>
                <w:color w:val="000000"/>
                <w:lang w:eastAsia="es-MX"/>
              </w:rPr>
            </w:pPr>
            <w:r w:rsidRPr="005C0400">
              <w:rPr>
                <w:rFonts w:ascii="Calibri" w:eastAsia="Times New Roman" w:hAnsi="Calibri" w:cs="Times New Roman"/>
                <w:b/>
                <w:bCs/>
                <w:color w:val="000000"/>
                <w:lang w:eastAsia="es-MX"/>
              </w:rPr>
              <w:t>2. Más Ingresos Contables No Presupuestarios</w:t>
            </w:r>
          </w:p>
        </w:tc>
        <w:tc>
          <w:tcPr>
            <w:tcW w:w="1882"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b/>
                <w:bCs/>
                <w:color w:val="000000"/>
                <w:lang w:eastAsia="es-MX"/>
              </w:rPr>
            </w:pPr>
            <w:r w:rsidRPr="005C0400">
              <w:rPr>
                <w:rFonts w:ascii="Calibri" w:eastAsia="Times New Roman" w:hAnsi="Calibri" w:cs="Times New Roman"/>
                <w:b/>
                <w:bCs/>
                <w:color w:val="000000"/>
                <w:lang w:eastAsia="es-MX"/>
              </w:rPr>
              <w:t xml:space="preserve">                                   -   </w:t>
            </w:r>
          </w:p>
        </w:tc>
      </w:tr>
      <w:tr w:rsidR="005C0400" w:rsidRPr="005C0400" w:rsidTr="005C0400">
        <w:trPr>
          <w:trHeight w:val="300"/>
          <w:jc w:val="center"/>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w:t>
            </w:r>
          </w:p>
        </w:tc>
        <w:tc>
          <w:tcPr>
            <w:tcW w:w="4966"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w:t>
            </w:r>
          </w:p>
        </w:tc>
        <w:tc>
          <w:tcPr>
            <w:tcW w:w="1882"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w:t>
            </w:r>
          </w:p>
        </w:tc>
      </w:tr>
      <w:tr w:rsidR="005C0400" w:rsidRPr="005C0400" w:rsidTr="005C0400">
        <w:trPr>
          <w:trHeight w:val="300"/>
          <w:jc w:val="center"/>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jc w:val="center"/>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2.1</w:t>
            </w:r>
          </w:p>
        </w:tc>
        <w:tc>
          <w:tcPr>
            <w:tcW w:w="4966"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xml:space="preserve">INGRESOS FINANCIEROS </w:t>
            </w:r>
          </w:p>
        </w:tc>
        <w:tc>
          <w:tcPr>
            <w:tcW w:w="1882"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w:t>
            </w:r>
          </w:p>
        </w:tc>
      </w:tr>
      <w:tr w:rsidR="005C0400" w:rsidRPr="005C0400" w:rsidTr="005C0400">
        <w:trPr>
          <w:trHeight w:val="300"/>
          <w:jc w:val="center"/>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jc w:val="center"/>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2.2</w:t>
            </w:r>
          </w:p>
        </w:tc>
        <w:tc>
          <w:tcPr>
            <w:tcW w:w="4966"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xml:space="preserve">INCREMENTO POR VARIACIÓN DE INVENTARIOS   </w:t>
            </w:r>
          </w:p>
        </w:tc>
        <w:tc>
          <w:tcPr>
            <w:tcW w:w="1882"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w:t>
            </w:r>
          </w:p>
        </w:tc>
      </w:tr>
      <w:tr w:rsidR="005C0400" w:rsidRPr="005C0400" w:rsidTr="005C0400">
        <w:trPr>
          <w:trHeight w:val="600"/>
          <w:jc w:val="center"/>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jc w:val="center"/>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2.3</w:t>
            </w:r>
          </w:p>
        </w:tc>
        <w:tc>
          <w:tcPr>
            <w:tcW w:w="4966" w:type="dxa"/>
            <w:tcBorders>
              <w:top w:val="nil"/>
              <w:left w:val="nil"/>
              <w:bottom w:val="single" w:sz="4" w:space="0" w:color="auto"/>
              <w:right w:val="single" w:sz="4" w:space="0" w:color="auto"/>
            </w:tcBorders>
            <w:shd w:val="clear" w:color="auto" w:fill="auto"/>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xml:space="preserve">DISMINUCIÓN DEL EXCESO DE ESTIMACIONES POR PÉRDIDA O DETERIORO U OBSOLESCENCIA </w:t>
            </w:r>
          </w:p>
        </w:tc>
        <w:tc>
          <w:tcPr>
            <w:tcW w:w="1882"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w:t>
            </w:r>
          </w:p>
        </w:tc>
      </w:tr>
      <w:tr w:rsidR="005C0400" w:rsidRPr="005C0400" w:rsidTr="005C0400">
        <w:trPr>
          <w:trHeight w:val="300"/>
          <w:jc w:val="center"/>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jc w:val="center"/>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2.4</w:t>
            </w:r>
          </w:p>
        </w:tc>
        <w:tc>
          <w:tcPr>
            <w:tcW w:w="4966"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xml:space="preserve">DISMINUCIÓN DEL EXCESO DE PROVISIONES   </w:t>
            </w:r>
          </w:p>
        </w:tc>
        <w:tc>
          <w:tcPr>
            <w:tcW w:w="1882"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w:t>
            </w:r>
          </w:p>
        </w:tc>
      </w:tr>
      <w:tr w:rsidR="005C0400" w:rsidRPr="005C0400" w:rsidTr="005C0400">
        <w:trPr>
          <w:trHeight w:val="300"/>
          <w:jc w:val="center"/>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jc w:val="center"/>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2.5</w:t>
            </w:r>
          </w:p>
        </w:tc>
        <w:tc>
          <w:tcPr>
            <w:tcW w:w="4966"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xml:space="preserve">OTROS INGRESOS Y BENEFICIOS VARIOS </w:t>
            </w:r>
          </w:p>
        </w:tc>
        <w:tc>
          <w:tcPr>
            <w:tcW w:w="1882"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w:t>
            </w:r>
          </w:p>
        </w:tc>
      </w:tr>
      <w:tr w:rsidR="005C0400" w:rsidRPr="005C0400" w:rsidTr="005C0400">
        <w:trPr>
          <w:trHeight w:val="300"/>
          <w:jc w:val="center"/>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jc w:val="center"/>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2.6</w:t>
            </w:r>
          </w:p>
        </w:tc>
        <w:tc>
          <w:tcPr>
            <w:tcW w:w="4966"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xml:space="preserve">OTROS INGRESOS CONTABLES NO PRESUPUESTARIOS   </w:t>
            </w:r>
          </w:p>
        </w:tc>
        <w:tc>
          <w:tcPr>
            <w:tcW w:w="1882"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xml:space="preserve">                                   -   </w:t>
            </w:r>
          </w:p>
        </w:tc>
      </w:tr>
      <w:tr w:rsidR="005C0400" w:rsidRPr="005C0400" w:rsidTr="005C0400">
        <w:trPr>
          <w:trHeight w:val="300"/>
          <w:jc w:val="center"/>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w:t>
            </w:r>
          </w:p>
        </w:tc>
        <w:tc>
          <w:tcPr>
            <w:tcW w:w="4966"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w:t>
            </w:r>
          </w:p>
        </w:tc>
        <w:tc>
          <w:tcPr>
            <w:tcW w:w="1882"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w:t>
            </w:r>
          </w:p>
        </w:tc>
      </w:tr>
      <w:tr w:rsidR="005C0400" w:rsidRPr="005C0400" w:rsidTr="005C0400">
        <w:trPr>
          <w:trHeight w:val="300"/>
          <w:jc w:val="center"/>
        </w:trPr>
        <w:tc>
          <w:tcPr>
            <w:tcW w:w="61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jc w:val="center"/>
              <w:rPr>
                <w:rFonts w:ascii="Calibri" w:eastAsia="Times New Roman" w:hAnsi="Calibri" w:cs="Times New Roman"/>
                <w:b/>
                <w:bCs/>
                <w:color w:val="000000"/>
                <w:lang w:eastAsia="es-MX"/>
              </w:rPr>
            </w:pPr>
            <w:r w:rsidRPr="005C0400">
              <w:rPr>
                <w:rFonts w:ascii="Calibri" w:eastAsia="Times New Roman" w:hAnsi="Calibri" w:cs="Times New Roman"/>
                <w:b/>
                <w:bCs/>
                <w:color w:val="000000"/>
                <w:lang w:eastAsia="es-MX"/>
              </w:rPr>
              <w:t>3. Menos ingresos presupuestarios no contables</w:t>
            </w:r>
          </w:p>
        </w:tc>
        <w:tc>
          <w:tcPr>
            <w:tcW w:w="1882"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jc w:val="right"/>
              <w:rPr>
                <w:rFonts w:ascii="Calibri" w:eastAsia="Times New Roman" w:hAnsi="Calibri" w:cs="Times New Roman"/>
                <w:b/>
                <w:bCs/>
                <w:color w:val="000000"/>
                <w:lang w:eastAsia="es-MX"/>
              </w:rPr>
            </w:pPr>
            <w:r w:rsidRPr="005C0400">
              <w:rPr>
                <w:rFonts w:ascii="Calibri" w:eastAsia="Times New Roman" w:hAnsi="Calibri" w:cs="Times New Roman"/>
                <w:b/>
                <w:bCs/>
                <w:color w:val="000000"/>
                <w:lang w:eastAsia="es-MX"/>
              </w:rPr>
              <w:t>0</w:t>
            </w:r>
          </w:p>
        </w:tc>
      </w:tr>
      <w:tr w:rsidR="005C0400" w:rsidRPr="005C0400" w:rsidTr="005C0400">
        <w:trPr>
          <w:trHeight w:val="300"/>
          <w:jc w:val="center"/>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w:t>
            </w:r>
          </w:p>
        </w:tc>
        <w:tc>
          <w:tcPr>
            <w:tcW w:w="4966"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w:t>
            </w:r>
          </w:p>
        </w:tc>
        <w:tc>
          <w:tcPr>
            <w:tcW w:w="1882"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w:t>
            </w:r>
          </w:p>
        </w:tc>
      </w:tr>
      <w:tr w:rsidR="005C0400" w:rsidRPr="005C0400" w:rsidTr="005C0400">
        <w:trPr>
          <w:trHeight w:val="300"/>
          <w:jc w:val="center"/>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jc w:val="right"/>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3.1</w:t>
            </w:r>
          </w:p>
        </w:tc>
        <w:tc>
          <w:tcPr>
            <w:tcW w:w="4966"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xml:space="preserve">APROVECHAMIENTOS PATRIMONIALES   </w:t>
            </w:r>
          </w:p>
        </w:tc>
        <w:tc>
          <w:tcPr>
            <w:tcW w:w="1882"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w:t>
            </w:r>
          </w:p>
        </w:tc>
      </w:tr>
      <w:tr w:rsidR="005C0400" w:rsidRPr="005C0400" w:rsidTr="005C0400">
        <w:trPr>
          <w:trHeight w:val="300"/>
          <w:jc w:val="center"/>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jc w:val="right"/>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3.2</w:t>
            </w:r>
          </w:p>
        </w:tc>
        <w:tc>
          <w:tcPr>
            <w:tcW w:w="4966"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xml:space="preserve">INGRESOS DERIVADOS DE FINANCIAMIENTOS      </w:t>
            </w:r>
          </w:p>
        </w:tc>
        <w:tc>
          <w:tcPr>
            <w:tcW w:w="1882"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w:t>
            </w:r>
          </w:p>
        </w:tc>
      </w:tr>
      <w:tr w:rsidR="005C0400" w:rsidRPr="005C0400" w:rsidTr="005C0400">
        <w:trPr>
          <w:trHeight w:val="300"/>
          <w:jc w:val="center"/>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jc w:val="right"/>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3.3</w:t>
            </w:r>
          </w:p>
        </w:tc>
        <w:tc>
          <w:tcPr>
            <w:tcW w:w="4966"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OTROS INGRESOS PRESUPUESTARIOS NO  CONTABLES</w:t>
            </w:r>
          </w:p>
        </w:tc>
        <w:tc>
          <w:tcPr>
            <w:tcW w:w="1882"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w:t>
            </w:r>
          </w:p>
        </w:tc>
      </w:tr>
      <w:tr w:rsidR="005C0400" w:rsidRPr="005C0400" w:rsidTr="005C0400">
        <w:trPr>
          <w:trHeight w:val="300"/>
          <w:jc w:val="center"/>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w:t>
            </w:r>
          </w:p>
        </w:tc>
        <w:tc>
          <w:tcPr>
            <w:tcW w:w="4966"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w:t>
            </w:r>
          </w:p>
        </w:tc>
        <w:tc>
          <w:tcPr>
            <w:tcW w:w="1882"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w:t>
            </w:r>
          </w:p>
        </w:tc>
      </w:tr>
      <w:tr w:rsidR="005C0400" w:rsidRPr="005C0400" w:rsidTr="005C0400">
        <w:trPr>
          <w:trHeight w:val="300"/>
          <w:jc w:val="center"/>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w:t>
            </w:r>
          </w:p>
        </w:tc>
        <w:tc>
          <w:tcPr>
            <w:tcW w:w="4966"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w:t>
            </w:r>
          </w:p>
        </w:tc>
        <w:tc>
          <w:tcPr>
            <w:tcW w:w="1882" w:type="dxa"/>
            <w:tcBorders>
              <w:top w:val="nil"/>
              <w:left w:val="nil"/>
              <w:bottom w:val="single" w:sz="4" w:space="0" w:color="auto"/>
              <w:right w:val="single" w:sz="4" w:space="0" w:color="auto"/>
            </w:tcBorders>
            <w:shd w:val="clear" w:color="auto" w:fill="auto"/>
            <w:noWrap/>
            <w:vAlign w:val="bottom"/>
            <w:hideMark/>
          </w:tcPr>
          <w:p w:rsidR="005C0400" w:rsidRPr="005C0400" w:rsidRDefault="005C0400" w:rsidP="005C0400">
            <w:pPr>
              <w:spacing w:after="0" w:line="240" w:lineRule="auto"/>
              <w:rPr>
                <w:rFonts w:ascii="Calibri" w:eastAsia="Times New Roman" w:hAnsi="Calibri" w:cs="Times New Roman"/>
                <w:color w:val="000000"/>
                <w:lang w:eastAsia="es-MX"/>
              </w:rPr>
            </w:pPr>
            <w:r w:rsidRPr="005C0400">
              <w:rPr>
                <w:rFonts w:ascii="Calibri" w:eastAsia="Times New Roman" w:hAnsi="Calibri" w:cs="Times New Roman"/>
                <w:color w:val="000000"/>
                <w:lang w:eastAsia="es-MX"/>
              </w:rPr>
              <w:t> </w:t>
            </w:r>
          </w:p>
        </w:tc>
      </w:tr>
      <w:tr w:rsidR="005C0400" w:rsidRPr="005C0400" w:rsidTr="005C0400">
        <w:trPr>
          <w:trHeight w:val="300"/>
          <w:jc w:val="center"/>
        </w:trPr>
        <w:tc>
          <w:tcPr>
            <w:tcW w:w="6138" w:type="dxa"/>
            <w:gridSpan w:val="2"/>
            <w:tcBorders>
              <w:top w:val="single" w:sz="4" w:space="0" w:color="auto"/>
              <w:left w:val="single" w:sz="4" w:space="0" w:color="auto"/>
              <w:bottom w:val="single" w:sz="4" w:space="0" w:color="auto"/>
              <w:right w:val="single" w:sz="4" w:space="0" w:color="auto"/>
            </w:tcBorders>
            <w:shd w:val="clear" w:color="000000" w:fill="632523"/>
            <w:noWrap/>
            <w:vAlign w:val="bottom"/>
            <w:hideMark/>
          </w:tcPr>
          <w:p w:rsidR="005C0400" w:rsidRPr="005C0400" w:rsidRDefault="005C0400" w:rsidP="005C0400">
            <w:pPr>
              <w:spacing w:after="0" w:line="240" w:lineRule="auto"/>
              <w:rPr>
                <w:rFonts w:ascii="Calibri" w:eastAsia="Times New Roman" w:hAnsi="Calibri" w:cs="Times New Roman"/>
                <w:b/>
                <w:bCs/>
                <w:color w:val="FFFFFF"/>
                <w:lang w:eastAsia="es-MX"/>
              </w:rPr>
            </w:pPr>
            <w:r w:rsidRPr="005C0400">
              <w:rPr>
                <w:rFonts w:ascii="Calibri" w:eastAsia="Times New Roman" w:hAnsi="Calibri" w:cs="Times New Roman"/>
                <w:b/>
                <w:bCs/>
                <w:color w:val="FFFFFF"/>
                <w:lang w:eastAsia="es-MX"/>
              </w:rPr>
              <w:t>4. Total de  Ingresos Contables (4 = 1 + 2 - 3)</w:t>
            </w:r>
          </w:p>
        </w:tc>
        <w:tc>
          <w:tcPr>
            <w:tcW w:w="1882" w:type="dxa"/>
            <w:tcBorders>
              <w:top w:val="nil"/>
              <w:left w:val="nil"/>
              <w:bottom w:val="single" w:sz="4" w:space="0" w:color="auto"/>
              <w:right w:val="single" w:sz="4" w:space="0" w:color="auto"/>
            </w:tcBorders>
            <w:shd w:val="clear" w:color="000000" w:fill="632523"/>
            <w:noWrap/>
            <w:vAlign w:val="bottom"/>
            <w:hideMark/>
          </w:tcPr>
          <w:p w:rsidR="005C0400" w:rsidRPr="005C0400" w:rsidRDefault="005C0400" w:rsidP="005C0400">
            <w:pPr>
              <w:spacing w:after="0" w:line="240" w:lineRule="auto"/>
              <w:rPr>
                <w:rFonts w:ascii="Calibri" w:eastAsia="Times New Roman" w:hAnsi="Calibri" w:cs="Times New Roman"/>
                <w:b/>
                <w:bCs/>
                <w:color w:val="FFFFFF"/>
                <w:lang w:eastAsia="es-MX"/>
              </w:rPr>
            </w:pPr>
            <w:r w:rsidRPr="005C0400">
              <w:rPr>
                <w:rFonts w:ascii="Calibri" w:eastAsia="Times New Roman" w:hAnsi="Calibri" w:cs="Times New Roman"/>
                <w:b/>
                <w:bCs/>
                <w:color w:val="FFFFFF"/>
                <w:lang w:eastAsia="es-MX"/>
              </w:rPr>
              <w:t xml:space="preserve">         348,161,097.00 </w:t>
            </w:r>
          </w:p>
        </w:tc>
      </w:tr>
    </w:tbl>
    <w:p w:rsidR="005455E1" w:rsidRDefault="005455E1" w:rsidP="00786B0E">
      <w:pPr>
        <w:jc w:val="center"/>
        <w:rPr>
          <w:noProof/>
          <w:lang w:eastAsia="es-MX"/>
        </w:rPr>
      </w:pPr>
    </w:p>
    <w:p w:rsidR="005455E1" w:rsidRDefault="005455E1" w:rsidP="00786B0E">
      <w:pPr>
        <w:jc w:val="center"/>
        <w:rPr>
          <w:noProof/>
          <w:lang w:eastAsia="es-MX"/>
        </w:rPr>
      </w:pPr>
    </w:p>
    <w:p w:rsidR="005455E1" w:rsidRDefault="005455E1" w:rsidP="00786B0E">
      <w:pPr>
        <w:jc w:val="center"/>
        <w:rPr>
          <w:noProof/>
          <w:lang w:eastAsia="es-MX"/>
        </w:rPr>
      </w:pPr>
    </w:p>
    <w:p w:rsidR="005455E1" w:rsidRDefault="005455E1" w:rsidP="00786B0E">
      <w:pPr>
        <w:jc w:val="center"/>
        <w:rPr>
          <w:noProof/>
          <w:lang w:eastAsia="es-MX"/>
        </w:rPr>
      </w:pPr>
    </w:p>
    <w:p w:rsidR="009D3DE7" w:rsidRDefault="009D3DE7" w:rsidP="001241E9">
      <w:pPr>
        <w:rPr>
          <w:noProof/>
          <w:lang w:eastAsia="es-MX"/>
        </w:rPr>
      </w:pPr>
    </w:p>
    <w:p w:rsidR="005455E1" w:rsidRDefault="00313B1C" w:rsidP="00786B0E">
      <w:pPr>
        <w:jc w:val="center"/>
        <w:rPr>
          <w:noProof/>
          <w:lang w:eastAsia="es-MX"/>
        </w:rPr>
      </w:pPr>
      <w:r w:rsidRPr="00313B1C">
        <w:rPr>
          <w:noProof/>
          <w:lang w:eastAsia="es-MX"/>
        </w:rPr>
        <w:drawing>
          <wp:inline distT="0" distB="0" distL="0" distR="0">
            <wp:extent cx="4710896" cy="8414817"/>
            <wp:effectExtent l="0" t="0" r="0" b="571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3968" cy="8420305"/>
                    </a:xfrm>
                    <a:prstGeom prst="rect">
                      <a:avLst/>
                    </a:prstGeom>
                    <a:noFill/>
                    <a:ln>
                      <a:noFill/>
                    </a:ln>
                  </pic:spPr>
                </pic:pic>
              </a:graphicData>
            </a:graphic>
          </wp:inline>
        </w:drawing>
      </w:r>
    </w:p>
    <w:p w:rsidR="005455E1" w:rsidRDefault="005455E1" w:rsidP="00786B0E">
      <w:pPr>
        <w:jc w:val="center"/>
        <w:rPr>
          <w:noProof/>
          <w:lang w:eastAsia="es-MX"/>
        </w:rPr>
      </w:pPr>
    </w:p>
    <w:p w:rsidR="005455E1" w:rsidRDefault="005455E1" w:rsidP="00786B0E">
      <w:pPr>
        <w:jc w:val="center"/>
        <w:rPr>
          <w:noProof/>
          <w:lang w:eastAsia="es-MX"/>
        </w:rPr>
      </w:pPr>
    </w:p>
    <w:p w:rsidR="00786B0E" w:rsidRDefault="00786B0E" w:rsidP="00786B0E">
      <w:pPr>
        <w:jc w:val="center"/>
        <w:rPr>
          <w:rFonts w:ascii="Arial" w:hAnsi="Arial" w:cs="Arial"/>
          <w:b/>
          <w:sz w:val="18"/>
          <w:szCs w:val="18"/>
        </w:rPr>
      </w:pPr>
    </w:p>
    <w:p w:rsidR="00C97770" w:rsidRDefault="00C97770" w:rsidP="00786B0E">
      <w:pPr>
        <w:jc w:val="center"/>
        <w:rPr>
          <w:rFonts w:ascii="Arial" w:hAnsi="Arial" w:cs="Arial"/>
          <w:b/>
          <w:sz w:val="18"/>
          <w:szCs w:val="18"/>
        </w:rPr>
      </w:pPr>
    </w:p>
    <w:p w:rsidR="00C97770" w:rsidRDefault="00C97770" w:rsidP="00786B0E">
      <w:pPr>
        <w:jc w:val="center"/>
        <w:rPr>
          <w:rFonts w:ascii="Arial" w:hAnsi="Arial" w:cs="Arial"/>
          <w:b/>
          <w:sz w:val="18"/>
          <w:szCs w:val="18"/>
        </w:rPr>
      </w:pPr>
    </w:p>
    <w:p w:rsidR="00C97770" w:rsidRDefault="00C97770" w:rsidP="00786B0E">
      <w:pPr>
        <w:jc w:val="center"/>
        <w:rPr>
          <w:rFonts w:ascii="Arial" w:hAnsi="Arial" w:cs="Arial"/>
          <w:b/>
          <w:sz w:val="18"/>
          <w:szCs w:val="18"/>
        </w:rPr>
      </w:pPr>
    </w:p>
    <w:p w:rsidR="00786B0E" w:rsidRPr="00B165B0" w:rsidRDefault="00786B0E" w:rsidP="00786B0E">
      <w:pPr>
        <w:jc w:val="center"/>
        <w:rPr>
          <w:rFonts w:ascii="Arial" w:hAnsi="Arial" w:cs="Arial"/>
          <w:b/>
          <w:sz w:val="18"/>
          <w:szCs w:val="18"/>
        </w:rPr>
      </w:pPr>
      <w:r>
        <w:rPr>
          <w:rFonts w:ascii="Arial" w:hAnsi="Arial" w:cs="Arial"/>
          <w:b/>
          <w:sz w:val="18"/>
          <w:szCs w:val="18"/>
        </w:rPr>
        <w:t>c</w:t>
      </w:r>
      <w:r w:rsidRPr="00B165B0">
        <w:rPr>
          <w:rFonts w:ascii="Arial" w:hAnsi="Arial" w:cs="Arial"/>
          <w:b/>
          <w:sz w:val="18"/>
          <w:szCs w:val="18"/>
        </w:rPr>
        <w:t>) NOTAS DE GESTIÓN ADMINISTRATIVA</w:t>
      </w:r>
    </w:p>
    <w:p w:rsidR="00786B0E" w:rsidRPr="00B165B0" w:rsidRDefault="00786B0E" w:rsidP="00786B0E">
      <w:pPr>
        <w:pStyle w:val="Texto"/>
        <w:spacing w:after="0" w:line="240" w:lineRule="exact"/>
        <w:ind w:firstLine="0"/>
        <w:jc w:val="center"/>
        <w:rPr>
          <w:szCs w:val="18"/>
          <w:lang w:val="es-MX"/>
        </w:rPr>
      </w:pPr>
    </w:p>
    <w:p w:rsidR="00786B0E" w:rsidRPr="00B165B0" w:rsidRDefault="00786B0E" w:rsidP="00786B0E">
      <w:pPr>
        <w:pStyle w:val="Texto"/>
        <w:numPr>
          <w:ilvl w:val="0"/>
          <w:numId w:val="34"/>
        </w:numPr>
        <w:spacing w:after="0" w:line="240" w:lineRule="exact"/>
        <w:rPr>
          <w:szCs w:val="18"/>
          <w:lang w:val="es-MX"/>
        </w:rPr>
      </w:pPr>
      <w:r w:rsidRPr="00B165B0">
        <w:rPr>
          <w:b/>
          <w:szCs w:val="18"/>
          <w:lang w:val="es-MX"/>
        </w:rPr>
        <w:t>Autorización e Historia</w:t>
      </w:r>
      <w:r w:rsidRPr="00B165B0">
        <w:rPr>
          <w:szCs w:val="18"/>
          <w:lang w:val="es-MX"/>
        </w:rPr>
        <w:t>.- La universidad autónoma de Tlaxcala fue constituida el 24 de Noviembre de 1976 por decreto del Congresos del Estado de Tlaxcala, como organismo de servicio público descentralizado con patrimonio propio y plena Autonomía en su régimen jurídico, económico y administrativo.</w:t>
      </w:r>
    </w:p>
    <w:p w:rsidR="00786B0E" w:rsidRPr="00B165B0" w:rsidRDefault="00786B0E" w:rsidP="00786B0E">
      <w:pPr>
        <w:pStyle w:val="Texto"/>
        <w:spacing w:after="0" w:line="240" w:lineRule="exact"/>
        <w:ind w:firstLine="0"/>
        <w:rPr>
          <w:szCs w:val="18"/>
          <w:lang w:val="es-MX"/>
        </w:rPr>
      </w:pPr>
    </w:p>
    <w:p w:rsidR="00786B0E" w:rsidRDefault="00786B0E" w:rsidP="00786B0E">
      <w:pPr>
        <w:pStyle w:val="Texto"/>
        <w:numPr>
          <w:ilvl w:val="0"/>
          <w:numId w:val="34"/>
        </w:numPr>
        <w:spacing w:after="0" w:line="240" w:lineRule="exact"/>
        <w:rPr>
          <w:b/>
          <w:szCs w:val="18"/>
          <w:lang w:val="es-MX"/>
        </w:rPr>
      </w:pPr>
      <w:r w:rsidRPr="00B165B0">
        <w:rPr>
          <w:b/>
          <w:szCs w:val="18"/>
          <w:lang w:val="es-MX"/>
        </w:rPr>
        <w:t xml:space="preserve">Organización y Objeto Social.- </w:t>
      </w:r>
      <w:r w:rsidRPr="00B165B0">
        <w:rPr>
          <w:szCs w:val="18"/>
          <w:lang w:val="es-MX"/>
        </w:rPr>
        <w:t xml:space="preserve">Su objetivo es impartir educación a nivel licenciatura, maestría y doctorado, efectuar cursos de actualización y especialización; organizar y desarrollar actividades de investigación humanística y científica, así como preservar y difundir la cultura. La Universidad está regida por su propia ley orgánica. </w:t>
      </w:r>
    </w:p>
    <w:p w:rsidR="00786B0E" w:rsidRDefault="00786B0E" w:rsidP="00786B0E">
      <w:pPr>
        <w:pStyle w:val="Prrafodelista"/>
        <w:rPr>
          <w:b/>
          <w:szCs w:val="18"/>
        </w:rPr>
      </w:pPr>
    </w:p>
    <w:p w:rsidR="00786B0E" w:rsidRPr="005E288C" w:rsidRDefault="00786B0E" w:rsidP="00786B0E">
      <w:pPr>
        <w:pStyle w:val="Texto"/>
        <w:numPr>
          <w:ilvl w:val="0"/>
          <w:numId w:val="34"/>
        </w:numPr>
        <w:spacing w:after="0" w:line="240" w:lineRule="exact"/>
        <w:rPr>
          <w:szCs w:val="18"/>
        </w:rPr>
      </w:pPr>
      <w:r w:rsidRPr="00B520C1">
        <w:rPr>
          <w:b/>
          <w:szCs w:val="18"/>
          <w:lang w:val="es-MX"/>
        </w:rPr>
        <w:t xml:space="preserve">Bases de Preparación de los Estados Financieros.- </w:t>
      </w:r>
      <w:r w:rsidRPr="00B520C1">
        <w:rPr>
          <w:szCs w:val="18"/>
        </w:rPr>
        <w:t>La presente cuenta pública armonizada presentada por éste organismo autónomo se presenta con base en los siguientes fundamentos:</w:t>
      </w:r>
    </w:p>
    <w:p w:rsidR="00786B0E" w:rsidRPr="002C6C03" w:rsidRDefault="00786B0E" w:rsidP="00786B0E">
      <w:pPr>
        <w:pStyle w:val="Texto"/>
        <w:spacing w:after="0" w:line="240" w:lineRule="exact"/>
        <w:ind w:left="709" w:firstLine="0"/>
        <w:rPr>
          <w:szCs w:val="18"/>
        </w:rPr>
      </w:pPr>
      <w:r w:rsidRPr="002C6C03">
        <w:rPr>
          <w:szCs w:val="18"/>
        </w:rPr>
        <w:t>Lo dispuesto en los artículos 73 fracción XXVIII de la Constitución Política de los Esta</w:t>
      </w:r>
      <w:r>
        <w:rPr>
          <w:szCs w:val="18"/>
        </w:rPr>
        <w:t>dos Unidos Mexicanos; 1, 16, 17, 18 y 52</w:t>
      </w:r>
      <w:r w:rsidRPr="002C6C03">
        <w:rPr>
          <w:szCs w:val="18"/>
        </w:rPr>
        <w:t xml:space="preserve"> de la Ley General de Contabilidad Gubernamental;</w:t>
      </w:r>
      <w:r>
        <w:rPr>
          <w:szCs w:val="18"/>
        </w:rPr>
        <w:t xml:space="preserve"> 54 </w:t>
      </w:r>
      <w:proofErr w:type="spellStart"/>
      <w:r>
        <w:rPr>
          <w:szCs w:val="18"/>
        </w:rPr>
        <w:t>fracc</w:t>
      </w:r>
      <w:proofErr w:type="spellEnd"/>
      <w:r>
        <w:rPr>
          <w:szCs w:val="18"/>
        </w:rPr>
        <w:t>. XVII,</w:t>
      </w:r>
      <w:r w:rsidRPr="002C6C03">
        <w:rPr>
          <w:szCs w:val="18"/>
        </w:rPr>
        <w:t xml:space="preserve"> 104, de la Constitución política del Estado Libre y Soberano de Tlaxcala; 305, 310 y 311 del Código Financiero para el Estado de Tlaxcala y sus Municipios; 6, 7, 9, 12, 14 </w:t>
      </w:r>
      <w:proofErr w:type="spellStart"/>
      <w:r w:rsidRPr="002C6C03">
        <w:rPr>
          <w:szCs w:val="18"/>
        </w:rPr>
        <w:t>fracc</w:t>
      </w:r>
      <w:proofErr w:type="spellEnd"/>
      <w:r w:rsidRPr="002C6C03">
        <w:rPr>
          <w:szCs w:val="18"/>
        </w:rPr>
        <w:t>. II y 46 de la Ley de Fiscalización Superior del Estado de Tlaxcala y sus Municipios</w:t>
      </w:r>
      <w:r>
        <w:rPr>
          <w:szCs w:val="18"/>
        </w:rPr>
        <w:t xml:space="preserve">; </w:t>
      </w:r>
      <w:r w:rsidRPr="005E288C">
        <w:rPr>
          <w:szCs w:val="18"/>
        </w:rPr>
        <w:t>Decreto No. 224 publicado el 19 de Mayo de 2016 en el Periódico Oficial del Gobierno del Estado, en el cual se reforman y adicionan diversas disposiciones de la Ley de Fiscalización Superior del Estado de Tlaxcala y sus Municipios</w:t>
      </w:r>
      <w:r w:rsidRPr="002C6C03">
        <w:rPr>
          <w:szCs w:val="18"/>
        </w:rPr>
        <w:t>.</w:t>
      </w:r>
    </w:p>
    <w:p w:rsidR="00786B0E" w:rsidRPr="002C6C03" w:rsidRDefault="00786B0E" w:rsidP="00786B0E">
      <w:pPr>
        <w:pStyle w:val="Texto"/>
        <w:spacing w:after="0" w:line="240" w:lineRule="exact"/>
        <w:rPr>
          <w:sz w:val="22"/>
          <w:szCs w:val="22"/>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Pr="00B165B0" w:rsidRDefault="00786B0E" w:rsidP="00786B0E">
      <w:pPr>
        <w:pStyle w:val="Texto"/>
        <w:spacing w:after="0" w:line="240" w:lineRule="exact"/>
        <w:rPr>
          <w:b/>
          <w:szCs w:val="18"/>
          <w:lang w:val="es-MX"/>
        </w:rPr>
      </w:pPr>
    </w:p>
    <w:tbl>
      <w:tblPr>
        <w:tblW w:w="10322" w:type="dxa"/>
        <w:jc w:val="center"/>
        <w:tblCellMar>
          <w:left w:w="70" w:type="dxa"/>
          <w:right w:w="70" w:type="dxa"/>
        </w:tblCellMar>
        <w:tblLook w:val="04A0" w:firstRow="1" w:lastRow="0" w:firstColumn="1" w:lastColumn="0" w:noHBand="0" w:noVBand="1"/>
      </w:tblPr>
      <w:tblGrid>
        <w:gridCol w:w="4536"/>
        <w:gridCol w:w="947"/>
        <w:gridCol w:w="471"/>
        <w:gridCol w:w="4368"/>
      </w:tblGrid>
      <w:tr w:rsidR="00786B0E" w:rsidRPr="002113D5" w:rsidTr="005455E1">
        <w:trPr>
          <w:trHeight w:val="274"/>
          <w:jc w:val="center"/>
        </w:trPr>
        <w:tc>
          <w:tcPr>
            <w:tcW w:w="4536" w:type="dxa"/>
            <w:tcBorders>
              <w:top w:val="single" w:sz="4" w:space="0" w:color="auto"/>
              <w:left w:val="nil"/>
              <w:bottom w:val="nil"/>
              <w:right w:val="nil"/>
            </w:tcBorders>
            <w:shd w:val="clear" w:color="000000" w:fill="FFFFFF"/>
            <w:noWrap/>
            <w:vAlign w:val="bottom"/>
            <w:hideMark/>
          </w:tcPr>
          <w:p w:rsidR="00786B0E" w:rsidRPr="002113D5" w:rsidRDefault="00786B0E" w:rsidP="00A96DF5">
            <w:pPr>
              <w:spacing w:after="0" w:line="240" w:lineRule="auto"/>
              <w:jc w:val="center"/>
              <w:rPr>
                <w:rFonts w:ascii="Arial" w:eastAsia="Times New Roman" w:hAnsi="Arial" w:cs="Arial"/>
                <w:color w:val="000000"/>
                <w:sz w:val="18"/>
                <w:szCs w:val="18"/>
                <w:lang w:eastAsia="es-MX"/>
              </w:rPr>
            </w:pPr>
            <w:r w:rsidRPr="00235B61">
              <w:rPr>
                <w:rFonts w:ascii="Arial" w:eastAsia="Times New Roman" w:hAnsi="Arial" w:cs="Arial"/>
                <w:color w:val="000000"/>
                <w:sz w:val="18"/>
                <w:szCs w:val="18"/>
                <w:lang w:eastAsia="es-MX"/>
              </w:rPr>
              <w:t xml:space="preserve">Dr. </w:t>
            </w:r>
            <w:r w:rsidR="00C751B6">
              <w:rPr>
                <w:rFonts w:ascii="Arial" w:eastAsia="Times New Roman" w:hAnsi="Arial" w:cs="Arial"/>
                <w:color w:val="000000"/>
                <w:sz w:val="18"/>
                <w:szCs w:val="18"/>
                <w:lang w:eastAsia="es-MX"/>
              </w:rPr>
              <w:t xml:space="preserve">Serafín Ortiz </w:t>
            </w:r>
            <w:proofErr w:type="spellStart"/>
            <w:r w:rsidR="00C751B6">
              <w:rPr>
                <w:rFonts w:ascii="Arial" w:eastAsia="Times New Roman" w:hAnsi="Arial" w:cs="Arial"/>
                <w:color w:val="000000"/>
                <w:sz w:val="18"/>
                <w:szCs w:val="18"/>
                <w:lang w:eastAsia="es-MX"/>
              </w:rPr>
              <w:t>Ortiz</w:t>
            </w:r>
            <w:proofErr w:type="spellEnd"/>
          </w:p>
        </w:tc>
        <w:tc>
          <w:tcPr>
            <w:tcW w:w="947" w:type="dxa"/>
            <w:tcBorders>
              <w:top w:val="nil"/>
              <w:left w:val="nil"/>
              <w:bottom w:val="nil"/>
              <w:right w:val="nil"/>
            </w:tcBorders>
            <w:shd w:val="clear" w:color="000000" w:fill="FFFFFF"/>
            <w:noWrap/>
            <w:vAlign w:val="bottom"/>
            <w:hideMark/>
          </w:tcPr>
          <w:p w:rsidR="00786B0E" w:rsidRPr="002113D5" w:rsidRDefault="00786B0E" w:rsidP="00A96DF5">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71" w:type="dxa"/>
            <w:tcBorders>
              <w:top w:val="nil"/>
              <w:left w:val="nil"/>
              <w:bottom w:val="nil"/>
              <w:right w:val="nil"/>
            </w:tcBorders>
            <w:shd w:val="clear" w:color="000000" w:fill="FFFFFF"/>
            <w:noWrap/>
            <w:vAlign w:val="bottom"/>
            <w:hideMark/>
          </w:tcPr>
          <w:p w:rsidR="00786B0E" w:rsidRPr="002113D5" w:rsidRDefault="00786B0E" w:rsidP="00A96DF5">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368" w:type="dxa"/>
            <w:tcBorders>
              <w:top w:val="single" w:sz="4" w:space="0" w:color="auto"/>
              <w:left w:val="nil"/>
              <w:bottom w:val="nil"/>
              <w:right w:val="nil"/>
            </w:tcBorders>
            <w:shd w:val="clear" w:color="000000" w:fill="FFFFFF"/>
            <w:noWrap/>
            <w:vAlign w:val="bottom"/>
            <w:hideMark/>
          </w:tcPr>
          <w:p w:rsidR="00786B0E" w:rsidRPr="002113D5" w:rsidRDefault="00786B0E" w:rsidP="00A96DF5">
            <w:pPr>
              <w:spacing w:after="0" w:line="240" w:lineRule="auto"/>
              <w:jc w:val="center"/>
              <w:rPr>
                <w:rFonts w:ascii="Arial" w:eastAsia="Times New Roman" w:hAnsi="Arial" w:cs="Arial"/>
                <w:color w:val="000000"/>
                <w:sz w:val="18"/>
                <w:szCs w:val="18"/>
                <w:lang w:eastAsia="es-MX"/>
              </w:rPr>
            </w:pPr>
            <w:r w:rsidRPr="00235B61">
              <w:rPr>
                <w:rFonts w:ascii="Arial" w:eastAsia="Times New Roman" w:hAnsi="Arial" w:cs="Arial"/>
                <w:color w:val="000000"/>
                <w:sz w:val="18"/>
                <w:szCs w:val="18"/>
                <w:lang w:eastAsia="es-MX"/>
              </w:rPr>
              <w:t xml:space="preserve">Lic. </w:t>
            </w:r>
            <w:r w:rsidR="00C751B6">
              <w:rPr>
                <w:rFonts w:ascii="Arial" w:eastAsia="Times New Roman" w:hAnsi="Arial" w:cs="Arial"/>
                <w:color w:val="000000"/>
                <w:sz w:val="18"/>
                <w:szCs w:val="18"/>
                <w:lang w:eastAsia="es-MX"/>
              </w:rPr>
              <w:t>Elvia Hernández Escalona</w:t>
            </w:r>
          </w:p>
        </w:tc>
      </w:tr>
      <w:tr w:rsidR="00786B0E" w:rsidRPr="002113D5" w:rsidTr="005455E1">
        <w:trPr>
          <w:trHeight w:val="274"/>
          <w:jc w:val="center"/>
        </w:trPr>
        <w:tc>
          <w:tcPr>
            <w:tcW w:w="4536" w:type="dxa"/>
            <w:tcBorders>
              <w:top w:val="nil"/>
              <w:left w:val="nil"/>
              <w:bottom w:val="nil"/>
              <w:right w:val="nil"/>
            </w:tcBorders>
            <w:shd w:val="clear" w:color="000000" w:fill="FFFFFF"/>
            <w:hideMark/>
          </w:tcPr>
          <w:p w:rsidR="00786B0E" w:rsidRPr="002113D5" w:rsidRDefault="00786B0E" w:rsidP="00A96DF5">
            <w:pPr>
              <w:spacing w:after="0" w:line="240" w:lineRule="auto"/>
              <w:jc w:val="center"/>
              <w:rPr>
                <w:rFonts w:ascii="Arial" w:eastAsia="Times New Roman" w:hAnsi="Arial" w:cs="Arial"/>
                <w:sz w:val="18"/>
                <w:szCs w:val="18"/>
                <w:lang w:eastAsia="es-MX"/>
              </w:rPr>
            </w:pPr>
            <w:r w:rsidRPr="002113D5">
              <w:rPr>
                <w:rFonts w:ascii="Arial" w:eastAsia="Times New Roman" w:hAnsi="Arial" w:cs="Arial"/>
                <w:sz w:val="18"/>
                <w:szCs w:val="18"/>
                <w:lang w:eastAsia="es-MX"/>
              </w:rPr>
              <w:t>Rector</w:t>
            </w:r>
          </w:p>
        </w:tc>
        <w:tc>
          <w:tcPr>
            <w:tcW w:w="947" w:type="dxa"/>
            <w:tcBorders>
              <w:top w:val="nil"/>
              <w:left w:val="nil"/>
              <w:bottom w:val="nil"/>
              <w:right w:val="nil"/>
            </w:tcBorders>
            <w:shd w:val="clear" w:color="000000" w:fill="FFFFFF"/>
            <w:noWrap/>
            <w:hideMark/>
          </w:tcPr>
          <w:p w:rsidR="00786B0E" w:rsidRPr="002113D5" w:rsidRDefault="00786B0E" w:rsidP="00A96DF5">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71" w:type="dxa"/>
            <w:tcBorders>
              <w:top w:val="nil"/>
              <w:left w:val="nil"/>
              <w:bottom w:val="nil"/>
              <w:right w:val="nil"/>
            </w:tcBorders>
            <w:shd w:val="clear" w:color="000000" w:fill="FFFFFF"/>
            <w:noWrap/>
            <w:hideMark/>
          </w:tcPr>
          <w:p w:rsidR="00786B0E" w:rsidRPr="002113D5" w:rsidRDefault="00786B0E" w:rsidP="00A96DF5">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368" w:type="dxa"/>
            <w:tcBorders>
              <w:top w:val="nil"/>
              <w:left w:val="nil"/>
              <w:bottom w:val="nil"/>
              <w:right w:val="nil"/>
            </w:tcBorders>
            <w:shd w:val="clear" w:color="000000" w:fill="FFFFFF"/>
            <w:hideMark/>
          </w:tcPr>
          <w:p w:rsidR="00786B0E" w:rsidRPr="002113D5" w:rsidRDefault="00786B0E" w:rsidP="00A96DF5">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Secretaria Administrativa</w:t>
            </w:r>
          </w:p>
        </w:tc>
      </w:tr>
    </w:tbl>
    <w:p w:rsidR="00786B0E" w:rsidRPr="005838AA" w:rsidRDefault="00786B0E" w:rsidP="00786B0E">
      <w:pPr>
        <w:rPr>
          <w:rFonts w:ascii="Arial" w:hAnsi="Arial" w:cs="Arial"/>
          <w:sz w:val="18"/>
          <w:szCs w:val="18"/>
        </w:rPr>
      </w:pPr>
    </w:p>
    <w:p w:rsidR="00786B0E" w:rsidRPr="00F47866" w:rsidRDefault="00786B0E" w:rsidP="00786B0E">
      <w:pPr>
        <w:jc w:val="center"/>
        <w:rPr>
          <w:rFonts w:ascii="Arial" w:hAnsi="Arial" w:cs="Arial"/>
          <w:sz w:val="18"/>
          <w:szCs w:val="18"/>
        </w:rPr>
      </w:pPr>
    </w:p>
    <w:p w:rsidR="00786B0E" w:rsidRDefault="00786B0E" w:rsidP="00667D50"/>
    <w:p w:rsidR="003F1813" w:rsidRDefault="003F1813" w:rsidP="00667D50"/>
    <w:p w:rsidR="003F1813" w:rsidRDefault="003F1813" w:rsidP="00667D50"/>
    <w:p w:rsidR="003F1813" w:rsidRDefault="003F1813" w:rsidP="00667D50"/>
    <w:p w:rsidR="003F1813" w:rsidRPr="003F1813" w:rsidRDefault="003F1813" w:rsidP="003F1813">
      <w:pPr>
        <w:jc w:val="center"/>
        <w:rPr>
          <w:rFonts w:ascii="Arial" w:hAnsi="Arial" w:cs="Arial"/>
          <w:b/>
          <w:sz w:val="20"/>
        </w:rPr>
      </w:pPr>
      <w:bookmarkStart w:id="0" w:name="_GoBack"/>
      <w:r w:rsidRPr="003F1813">
        <w:rPr>
          <w:rFonts w:ascii="Arial" w:hAnsi="Arial" w:cs="Arial"/>
          <w:b/>
          <w:sz w:val="20"/>
        </w:rPr>
        <w:t>NOTAS DE GESTIÓN ADMINISTRATIVA A LA CUENTA PÚBLICA DE LA UNIVERSIDAD AUTÓNOMA DE TLAXCALA</w:t>
      </w:r>
      <w:r w:rsidR="00EF47CA">
        <w:rPr>
          <w:rFonts w:ascii="Arial" w:hAnsi="Arial" w:cs="Arial"/>
          <w:b/>
          <w:sz w:val="20"/>
        </w:rPr>
        <w:t>.</w:t>
      </w:r>
    </w:p>
    <w:p w:rsidR="003F1813" w:rsidRPr="003F1813" w:rsidRDefault="003F1813" w:rsidP="003F1813">
      <w:pPr>
        <w:rPr>
          <w:rFonts w:ascii="Arial" w:hAnsi="Arial" w:cs="Arial"/>
          <w:sz w:val="18"/>
        </w:rPr>
      </w:pPr>
    </w:p>
    <w:p w:rsidR="003F1813" w:rsidRPr="003F1813" w:rsidRDefault="003F1813" w:rsidP="003F1813">
      <w:pPr>
        <w:rPr>
          <w:rFonts w:ascii="Arial" w:hAnsi="Arial" w:cs="Arial"/>
          <w:b/>
          <w:sz w:val="18"/>
        </w:rPr>
      </w:pPr>
      <w:r w:rsidRPr="003F1813">
        <w:rPr>
          <w:rFonts w:ascii="Arial" w:hAnsi="Arial" w:cs="Arial"/>
          <w:b/>
          <w:sz w:val="18"/>
        </w:rPr>
        <w:t xml:space="preserve">1. </w:t>
      </w:r>
      <w:r>
        <w:rPr>
          <w:rFonts w:ascii="Arial" w:hAnsi="Arial" w:cs="Arial"/>
          <w:b/>
          <w:sz w:val="18"/>
        </w:rPr>
        <w:t xml:space="preserve">AUTORIZACIÓN E </w:t>
      </w:r>
      <w:r w:rsidRPr="003F1813">
        <w:rPr>
          <w:rFonts w:ascii="Arial" w:hAnsi="Arial" w:cs="Arial"/>
          <w:b/>
          <w:sz w:val="18"/>
        </w:rPr>
        <w:t>HISTORIA</w:t>
      </w:r>
      <w:r w:rsidR="00EF47CA">
        <w:rPr>
          <w:rFonts w:ascii="Arial" w:hAnsi="Arial" w:cs="Arial"/>
          <w:b/>
          <w:sz w:val="18"/>
        </w:rPr>
        <w:t>.</w:t>
      </w:r>
      <w:r w:rsidRPr="003F1813">
        <w:rPr>
          <w:rFonts w:ascii="Arial" w:hAnsi="Arial" w:cs="Arial"/>
          <w:b/>
          <w:sz w:val="18"/>
        </w:rPr>
        <w:t xml:space="preserve"> </w:t>
      </w:r>
    </w:p>
    <w:p w:rsidR="003F1813" w:rsidRPr="00B165B0" w:rsidRDefault="003F1813" w:rsidP="003F1813">
      <w:pPr>
        <w:pStyle w:val="Texto"/>
        <w:numPr>
          <w:ilvl w:val="0"/>
          <w:numId w:val="37"/>
        </w:numPr>
        <w:spacing w:after="0" w:line="240" w:lineRule="exact"/>
        <w:rPr>
          <w:szCs w:val="18"/>
          <w:lang w:val="es-MX"/>
        </w:rPr>
      </w:pPr>
      <w:r w:rsidRPr="003F1813">
        <w:t xml:space="preserve">La Universidad Autónoma de Tlaxcala fue creada el 26 de febrero de 1976, mediante decreto publicado en el Periódico Oficial del Estado de Tlaxcala. </w:t>
      </w:r>
      <w:r w:rsidRPr="00B165B0">
        <w:rPr>
          <w:szCs w:val="18"/>
          <w:lang w:val="es-MX"/>
        </w:rPr>
        <w:t>, como organismo de servicio público descentralizado con patrimonio propio y plena Autonomía en su régimen jurídico, económico y administrativo.</w:t>
      </w:r>
    </w:p>
    <w:p w:rsidR="003F1813" w:rsidRDefault="003F1813" w:rsidP="003F1813">
      <w:pPr>
        <w:rPr>
          <w:rFonts w:ascii="Arial" w:hAnsi="Arial" w:cs="Arial"/>
          <w:sz w:val="18"/>
        </w:rPr>
      </w:pPr>
    </w:p>
    <w:p w:rsidR="003F1813" w:rsidRPr="003F1813" w:rsidRDefault="003F1813" w:rsidP="003F1813">
      <w:pPr>
        <w:ind w:left="708"/>
        <w:jc w:val="both"/>
        <w:rPr>
          <w:rFonts w:ascii="Arial" w:hAnsi="Arial" w:cs="Arial"/>
          <w:sz w:val="18"/>
        </w:rPr>
      </w:pPr>
      <w:r w:rsidRPr="003F1813">
        <w:rPr>
          <w:rFonts w:ascii="Arial" w:hAnsi="Arial" w:cs="Arial"/>
          <w:sz w:val="18"/>
        </w:rPr>
        <w:t xml:space="preserve">Desde su fundación, ha experimentado cambios significativos en su estructura para adaptarse a las demandas educativas y </w:t>
      </w:r>
      <w:r w:rsidRPr="003F1813">
        <w:rPr>
          <w:rFonts w:ascii="Arial" w:hAnsi="Arial" w:cs="Arial"/>
          <w:sz w:val="18"/>
        </w:rPr>
        <w:t>administrativas</w:t>
      </w:r>
      <w:r>
        <w:rPr>
          <w:rFonts w:ascii="Arial" w:hAnsi="Arial" w:cs="Arial"/>
          <w:sz w:val="18"/>
        </w:rPr>
        <w:t xml:space="preserve">. </w:t>
      </w:r>
      <w:r w:rsidRPr="003F1813">
        <w:rPr>
          <w:rFonts w:ascii="Arial" w:hAnsi="Arial" w:cs="Arial"/>
          <w:sz w:val="18"/>
        </w:rPr>
        <w:t>Estos cambios incluyen la creación de facultades, institutos, centros de investigación y la ampliación de su oferta académica para abarcar diversas áreas del conocimiento.</w:t>
      </w:r>
    </w:p>
    <w:p w:rsidR="003F1813" w:rsidRPr="003F1813" w:rsidRDefault="003F1813" w:rsidP="003F1813">
      <w:pPr>
        <w:rPr>
          <w:rFonts w:ascii="Arial" w:hAnsi="Arial" w:cs="Arial"/>
          <w:sz w:val="18"/>
        </w:rPr>
      </w:pPr>
    </w:p>
    <w:p w:rsidR="003F1813" w:rsidRPr="003F1813" w:rsidRDefault="003F1813" w:rsidP="003F1813">
      <w:pPr>
        <w:rPr>
          <w:rFonts w:ascii="Arial" w:hAnsi="Arial" w:cs="Arial"/>
          <w:sz w:val="18"/>
        </w:rPr>
      </w:pPr>
      <w:r w:rsidRPr="003F1813">
        <w:rPr>
          <w:rFonts w:ascii="Arial" w:hAnsi="Arial" w:cs="Arial"/>
          <w:b/>
          <w:sz w:val="18"/>
        </w:rPr>
        <w:t>2. PANORAMA ECONÓMICO</w:t>
      </w:r>
      <w:r w:rsidR="000747D7">
        <w:rPr>
          <w:rFonts w:ascii="Arial" w:hAnsi="Arial" w:cs="Arial"/>
          <w:b/>
          <w:sz w:val="18"/>
        </w:rPr>
        <w:t xml:space="preserve"> Y</w:t>
      </w:r>
      <w:r w:rsidR="00EF47CA">
        <w:rPr>
          <w:rFonts w:ascii="Arial" w:hAnsi="Arial" w:cs="Arial"/>
          <w:b/>
          <w:sz w:val="18"/>
        </w:rPr>
        <w:t xml:space="preserve"> FINANCIERO.</w:t>
      </w:r>
    </w:p>
    <w:p w:rsidR="003F1813" w:rsidRPr="003F1813" w:rsidRDefault="003F1813" w:rsidP="000747D7">
      <w:pPr>
        <w:ind w:left="708"/>
        <w:jc w:val="both"/>
        <w:rPr>
          <w:rFonts w:ascii="Arial" w:hAnsi="Arial" w:cs="Arial"/>
          <w:sz w:val="18"/>
        </w:rPr>
      </w:pPr>
      <w:r w:rsidRPr="003F1813">
        <w:rPr>
          <w:rFonts w:ascii="Arial" w:hAnsi="Arial" w:cs="Arial"/>
          <w:sz w:val="18"/>
        </w:rPr>
        <w:t>En línea con el Plan Institucional de Mejoramiento Acelerado, la Universidad Autónoma de Tlaxcala se enfoca en garantizar la sostenibilidad económica financiera para la educación. Este plan aborda la optimización de recursos, la diversificación de fuentes de financiamiento y la eficiencia en la gestión administrativa para asegurar la calidad educativa y el desarrollo institucional.</w:t>
      </w:r>
      <w:r w:rsidR="000747D7">
        <w:rPr>
          <w:rFonts w:ascii="Arial" w:hAnsi="Arial" w:cs="Arial"/>
          <w:sz w:val="18"/>
        </w:rPr>
        <w:t xml:space="preserve"> Para lo cual se cuenta con un Plan de Austeridad y Ahorro que permite a esta Máxima Casa de Estudios </w:t>
      </w:r>
      <w:r w:rsidR="000747D7" w:rsidRPr="000747D7">
        <w:rPr>
          <w:rFonts w:ascii="Arial" w:hAnsi="Arial" w:cs="Arial"/>
          <w:sz w:val="18"/>
        </w:rPr>
        <w:t>propiciar el aprovechamiento óptimo y racional del gasto institucional, sin afectar el cumplimiento de las labores sustantivas y los objetivos y metas previstas para cada uno de los proyectos</w:t>
      </w:r>
      <w:r w:rsidR="000747D7">
        <w:rPr>
          <w:rFonts w:ascii="Arial" w:hAnsi="Arial" w:cs="Arial"/>
          <w:sz w:val="18"/>
        </w:rPr>
        <w:t>. E</w:t>
      </w:r>
      <w:r w:rsidR="000747D7" w:rsidRPr="000747D7">
        <w:rPr>
          <w:rFonts w:ascii="Arial" w:hAnsi="Arial" w:cs="Arial"/>
          <w:sz w:val="18"/>
        </w:rPr>
        <w:t>l entorno financiero de la Universidad Autónoma de Tlaxcala a nivel federal y estatal se ve influenciado por diversos factores económicos y políticos que afectan</w:t>
      </w:r>
      <w:r w:rsidR="000747D7">
        <w:rPr>
          <w:rFonts w:ascii="Arial" w:hAnsi="Arial" w:cs="Arial"/>
          <w:sz w:val="18"/>
        </w:rPr>
        <w:t xml:space="preserve"> su financiamiento y operación, como lo son el </w:t>
      </w:r>
      <w:r w:rsidR="000747D7" w:rsidRPr="000747D7">
        <w:rPr>
          <w:rFonts w:ascii="Arial" w:hAnsi="Arial" w:cs="Arial"/>
          <w:sz w:val="18"/>
        </w:rPr>
        <w:t>Financiamiento Público: La Universidad Autónoma de Tlaxcala recibe un porcentaje significativo de su financiamiento del gobierno federal a través de subsidios y programas de apoyo a la educación superior. Estos fondos son asignados en función de criterios como la matrícula estudiantil, la calidad académica y los proyectos de investigación.</w:t>
      </w:r>
    </w:p>
    <w:p w:rsidR="003F1813" w:rsidRDefault="000747D7" w:rsidP="000747D7">
      <w:pPr>
        <w:ind w:left="705"/>
        <w:rPr>
          <w:rFonts w:ascii="Arial" w:hAnsi="Arial" w:cs="Arial"/>
          <w:sz w:val="18"/>
        </w:rPr>
      </w:pPr>
      <w:r>
        <w:rPr>
          <w:rFonts w:ascii="Arial" w:hAnsi="Arial" w:cs="Arial"/>
          <w:sz w:val="18"/>
        </w:rPr>
        <w:t>E</w:t>
      </w:r>
      <w:r w:rsidRPr="000747D7">
        <w:rPr>
          <w:rFonts w:ascii="Arial" w:hAnsi="Arial" w:cs="Arial"/>
          <w:sz w:val="18"/>
        </w:rPr>
        <w:t>l entorno financiero de la Universidad Autónoma de Tlaxcala está influenciado tanto por las políticas y dinámicas a nivel federal como por las particularidades del contexto estatal. La gestión efectiva de estos factores es fundamental para garantizar la sostenibilidad financiera y el cumplimiento de la misión institucional.</w:t>
      </w:r>
    </w:p>
    <w:p w:rsidR="000747D7" w:rsidRPr="003F1813" w:rsidRDefault="000747D7" w:rsidP="000747D7">
      <w:pPr>
        <w:ind w:left="705"/>
        <w:rPr>
          <w:rFonts w:ascii="Arial" w:hAnsi="Arial" w:cs="Arial"/>
          <w:sz w:val="18"/>
        </w:rPr>
      </w:pPr>
    </w:p>
    <w:p w:rsidR="003F1813" w:rsidRPr="003F1813" w:rsidRDefault="003F1813" w:rsidP="003F1813">
      <w:pPr>
        <w:rPr>
          <w:rFonts w:ascii="Arial" w:hAnsi="Arial" w:cs="Arial"/>
          <w:b/>
          <w:sz w:val="18"/>
        </w:rPr>
      </w:pPr>
      <w:r w:rsidRPr="003F1813">
        <w:rPr>
          <w:rFonts w:ascii="Arial" w:hAnsi="Arial" w:cs="Arial"/>
          <w:b/>
          <w:sz w:val="18"/>
        </w:rPr>
        <w:t>3. ORGANIZACIÓN Y OBJETO SOCIAL</w:t>
      </w:r>
      <w:r w:rsidR="00EF47CA">
        <w:rPr>
          <w:rFonts w:ascii="Arial" w:hAnsi="Arial" w:cs="Arial"/>
          <w:b/>
          <w:sz w:val="18"/>
        </w:rPr>
        <w:t>.</w:t>
      </w:r>
    </w:p>
    <w:p w:rsidR="003F1813" w:rsidRPr="003F1813" w:rsidRDefault="003F1813" w:rsidP="003F1813">
      <w:pPr>
        <w:ind w:left="708"/>
        <w:jc w:val="both"/>
        <w:rPr>
          <w:rFonts w:ascii="Arial" w:hAnsi="Arial" w:cs="Arial"/>
          <w:sz w:val="18"/>
        </w:rPr>
      </w:pPr>
      <w:r w:rsidRPr="003F1813">
        <w:rPr>
          <w:rFonts w:ascii="Arial" w:hAnsi="Arial" w:cs="Arial"/>
          <w:sz w:val="18"/>
        </w:rPr>
        <w:t>Su objetivo es impartir educación a nivel licenciatura, maestría y doctorado, efectuar cursos de actualización y especialización; organizar y desarrollar actividades de investigación humanística y científica, así como preservar y difundir la cultura. La Univers</w:t>
      </w:r>
      <w:r>
        <w:rPr>
          <w:rFonts w:ascii="Arial" w:hAnsi="Arial" w:cs="Arial"/>
          <w:sz w:val="18"/>
        </w:rPr>
        <w:t>idad está regida por su propia Ley O</w:t>
      </w:r>
      <w:r w:rsidRPr="003F1813">
        <w:rPr>
          <w:rFonts w:ascii="Arial" w:hAnsi="Arial" w:cs="Arial"/>
          <w:sz w:val="18"/>
        </w:rPr>
        <w:t>rgánica.</w:t>
      </w:r>
    </w:p>
    <w:p w:rsidR="003F1813" w:rsidRDefault="003F1813" w:rsidP="003F1813">
      <w:pPr>
        <w:ind w:left="708"/>
        <w:jc w:val="both"/>
        <w:rPr>
          <w:rFonts w:ascii="Arial" w:hAnsi="Arial" w:cs="Arial"/>
          <w:sz w:val="18"/>
        </w:rPr>
      </w:pPr>
      <w:r w:rsidRPr="003F1813">
        <w:rPr>
          <w:rFonts w:ascii="Arial" w:hAnsi="Arial" w:cs="Arial"/>
          <w:sz w:val="18"/>
        </w:rPr>
        <w:t>Como institución pública, está sujeta a obligaciones fiscales que incluyen el pago y retención de impuestos conforme a la normativa vigente</w:t>
      </w:r>
      <w:r w:rsidR="000747D7">
        <w:rPr>
          <w:rFonts w:ascii="Arial" w:hAnsi="Arial" w:cs="Arial"/>
          <w:sz w:val="18"/>
        </w:rPr>
        <w:t xml:space="preserve"> de acuerdo a la Ley del Impuesto Sobre la Renta, Ley del Seguro Social, Ley de INFONAVIT y entre otras. </w:t>
      </w:r>
      <w:r w:rsidRPr="003F1813">
        <w:rPr>
          <w:rFonts w:ascii="Arial" w:hAnsi="Arial" w:cs="Arial"/>
          <w:sz w:val="18"/>
        </w:rPr>
        <w:t>Estas obligaciones abarcan el cumplimiento de las disposiciones fiscales locales y federales para contribuir al desarrollo económico del país.</w:t>
      </w:r>
      <w:r>
        <w:rPr>
          <w:rFonts w:ascii="Arial" w:hAnsi="Arial" w:cs="Arial"/>
          <w:sz w:val="18"/>
        </w:rPr>
        <w:t xml:space="preserve"> </w:t>
      </w:r>
    </w:p>
    <w:p w:rsidR="000747D7" w:rsidRPr="000747D7" w:rsidRDefault="000747D7" w:rsidP="000747D7">
      <w:pPr>
        <w:ind w:left="708"/>
        <w:jc w:val="both"/>
        <w:rPr>
          <w:rFonts w:ascii="Arial" w:hAnsi="Arial" w:cs="Arial"/>
          <w:sz w:val="18"/>
        </w:rPr>
      </w:pPr>
      <w:r w:rsidRPr="000747D7">
        <w:rPr>
          <w:rFonts w:ascii="Arial" w:hAnsi="Arial" w:cs="Arial"/>
          <w:sz w:val="18"/>
        </w:rPr>
        <w:t>La Universidad Autónoma de Tlaxcala cumple rigurosamente con todas las obligaciones fiscales establecidas por la legislación nacional, garantizando la transparencia y legalidad en su gestión financiera. Esta institución se adhiere a las disposiciones contenidas en la Ley de Ingresos y Presupuesto de Egresos de la Federación, así como a la Ley de Coordinación Fiscal y demás normativas fiscales pertinentes.</w:t>
      </w:r>
    </w:p>
    <w:p w:rsidR="000747D7" w:rsidRPr="000747D7" w:rsidRDefault="000747D7" w:rsidP="000747D7">
      <w:pPr>
        <w:ind w:left="708"/>
        <w:jc w:val="both"/>
        <w:rPr>
          <w:rFonts w:ascii="Arial" w:hAnsi="Arial" w:cs="Arial"/>
          <w:sz w:val="18"/>
        </w:rPr>
      </w:pPr>
    </w:p>
    <w:p w:rsidR="00ED7334" w:rsidRDefault="00ED7334" w:rsidP="000747D7">
      <w:pPr>
        <w:ind w:left="708"/>
        <w:jc w:val="both"/>
        <w:rPr>
          <w:rFonts w:ascii="Arial" w:hAnsi="Arial" w:cs="Arial"/>
          <w:sz w:val="18"/>
        </w:rPr>
      </w:pPr>
    </w:p>
    <w:p w:rsidR="00ED7334" w:rsidRDefault="00ED7334" w:rsidP="000747D7">
      <w:pPr>
        <w:ind w:left="708"/>
        <w:jc w:val="both"/>
        <w:rPr>
          <w:rFonts w:ascii="Arial" w:hAnsi="Arial" w:cs="Arial"/>
          <w:sz w:val="18"/>
        </w:rPr>
      </w:pPr>
    </w:p>
    <w:p w:rsidR="000747D7" w:rsidRPr="000747D7" w:rsidRDefault="000747D7" w:rsidP="00ED7334">
      <w:pPr>
        <w:ind w:left="708"/>
        <w:jc w:val="both"/>
        <w:rPr>
          <w:rFonts w:ascii="Arial" w:hAnsi="Arial" w:cs="Arial"/>
          <w:sz w:val="18"/>
        </w:rPr>
      </w:pPr>
      <w:r w:rsidRPr="000747D7">
        <w:rPr>
          <w:rFonts w:ascii="Arial" w:hAnsi="Arial" w:cs="Arial"/>
          <w:sz w:val="18"/>
        </w:rPr>
        <w:t>Para asegurar el cumplimiento de estas obligaciones, la universidad cuenta con diversos departamentos especializados que se encargan de atender a los diferentes entes fiscalizadores, tales como el Servicio de Administración Tributaria (SAT), el Instituto Mexicano del Seguro Social (IMSS), el Instituto del Fondo Nacional de la Vivienda para los Trabajadores (INFONAVIT), y la Auditoría Superior de la</w:t>
      </w:r>
      <w:r w:rsidR="00ED7334">
        <w:rPr>
          <w:rFonts w:ascii="Arial" w:hAnsi="Arial" w:cs="Arial"/>
          <w:sz w:val="18"/>
        </w:rPr>
        <w:t xml:space="preserve"> Federación (ASF), entre otros.</w:t>
      </w:r>
    </w:p>
    <w:p w:rsidR="000747D7" w:rsidRPr="000747D7" w:rsidRDefault="000747D7" w:rsidP="00ED7334">
      <w:pPr>
        <w:ind w:left="708"/>
        <w:jc w:val="both"/>
        <w:rPr>
          <w:rFonts w:ascii="Arial" w:hAnsi="Arial" w:cs="Arial"/>
          <w:sz w:val="18"/>
        </w:rPr>
      </w:pPr>
      <w:r w:rsidRPr="000747D7">
        <w:rPr>
          <w:rFonts w:ascii="Arial" w:hAnsi="Arial" w:cs="Arial"/>
          <w:sz w:val="18"/>
        </w:rPr>
        <w:t>Estos departamentos trabajan de manera coordinada y eficiente para garantizar el correcto registro, cálculo y pago de impuestos, así como para proporcionar la información requerida en caso de auditorías o revisiones fiscales. Además, se mantienen actualizados respecto a las modificaciones legislativas y normativas fiscales que pudieran afectar a la universidad, asegurando así su pleno cumplim</w:t>
      </w:r>
      <w:r w:rsidR="00ED7334">
        <w:rPr>
          <w:rFonts w:ascii="Arial" w:hAnsi="Arial" w:cs="Arial"/>
          <w:sz w:val="18"/>
        </w:rPr>
        <w:t>iento con la normativa vigente.</w:t>
      </w:r>
    </w:p>
    <w:p w:rsidR="000747D7" w:rsidRPr="003F1813" w:rsidRDefault="000747D7" w:rsidP="000747D7">
      <w:pPr>
        <w:ind w:left="708"/>
        <w:jc w:val="both"/>
        <w:rPr>
          <w:rFonts w:ascii="Arial" w:hAnsi="Arial" w:cs="Arial"/>
          <w:sz w:val="18"/>
        </w:rPr>
      </w:pPr>
      <w:r w:rsidRPr="000747D7">
        <w:rPr>
          <w:rFonts w:ascii="Arial" w:hAnsi="Arial" w:cs="Arial"/>
          <w:sz w:val="18"/>
        </w:rPr>
        <w:t>La Universidad Autónoma de Tlaxcala reafirma su compromiso con la legalidad y la responsabilidad fiscal, contribuyendo de esta manera al desarrollo económico y social del país.</w:t>
      </w:r>
    </w:p>
    <w:p w:rsidR="003F1813" w:rsidRPr="003F1813" w:rsidRDefault="003F1813" w:rsidP="003F1813">
      <w:pPr>
        <w:rPr>
          <w:rFonts w:ascii="Arial" w:hAnsi="Arial" w:cs="Arial"/>
          <w:sz w:val="18"/>
        </w:rPr>
      </w:pPr>
    </w:p>
    <w:p w:rsidR="003F1813" w:rsidRPr="003F1813" w:rsidRDefault="003F1813" w:rsidP="003F1813">
      <w:pPr>
        <w:rPr>
          <w:rFonts w:ascii="Arial" w:hAnsi="Arial" w:cs="Arial"/>
          <w:b/>
          <w:sz w:val="18"/>
        </w:rPr>
      </w:pPr>
      <w:r w:rsidRPr="003F1813">
        <w:rPr>
          <w:rFonts w:ascii="Arial" w:hAnsi="Arial" w:cs="Arial"/>
          <w:b/>
          <w:sz w:val="18"/>
        </w:rPr>
        <w:t>4. BASES DE PREPARACIÓN DE LOS ESTADOS FINANCIEROS</w:t>
      </w:r>
      <w:r w:rsidR="00EF47CA">
        <w:rPr>
          <w:rFonts w:ascii="Arial" w:hAnsi="Arial" w:cs="Arial"/>
          <w:b/>
          <w:sz w:val="18"/>
        </w:rPr>
        <w:t>.</w:t>
      </w:r>
    </w:p>
    <w:p w:rsidR="003F1813" w:rsidRPr="003F1813" w:rsidRDefault="003F1813" w:rsidP="003F1813">
      <w:pPr>
        <w:ind w:left="708"/>
        <w:jc w:val="both"/>
        <w:rPr>
          <w:rFonts w:ascii="Arial" w:hAnsi="Arial" w:cs="Arial"/>
          <w:sz w:val="18"/>
        </w:rPr>
      </w:pPr>
      <w:r w:rsidRPr="003F1813">
        <w:rPr>
          <w:rFonts w:ascii="Arial" w:hAnsi="Arial" w:cs="Arial"/>
          <w:sz w:val="18"/>
        </w:rPr>
        <w:t>Los estados financieros de la Universidad Autónoma de Tlaxcala se preparan siguiendo las bases establecidas en el Sistema de Contabilidad Gubernamental versión IV, así como en el Manual de Contabilidad Gubernamental. Esto garantiza un registro y análisis adecuado de la información contable conforme a las normas y postulados básicos de contabilidad gubernamental, incluyendo la Ley General de Contabilidad Gubernamental.</w:t>
      </w:r>
    </w:p>
    <w:p w:rsidR="00ED7334" w:rsidRPr="00ED7334" w:rsidRDefault="00ED7334" w:rsidP="00ED7334">
      <w:pPr>
        <w:ind w:left="705"/>
        <w:rPr>
          <w:rFonts w:ascii="Arial" w:hAnsi="Arial" w:cs="Arial"/>
          <w:sz w:val="18"/>
        </w:rPr>
      </w:pPr>
      <w:r w:rsidRPr="00ED7334">
        <w:rPr>
          <w:rFonts w:ascii="Arial" w:hAnsi="Arial" w:cs="Arial"/>
          <w:sz w:val="18"/>
        </w:rPr>
        <w:t>En la Universidad Autónoma de Tlaxcala, la preparación de los estados financieros se lleva a cabo siguiendo un proceso riguroso y transparente, en conformidad con los postulados básicos de contabilidad gubernamental y la Ley General</w:t>
      </w:r>
      <w:r>
        <w:rPr>
          <w:rFonts w:ascii="Arial" w:hAnsi="Arial" w:cs="Arial"/>
          <w:sz w:val="18"/>
        </w:rPr>
        <w:t xml:space="preserve"> de Contabilidad Gubernamental.</w:t>
      </w:r>
    </w:p>
    <w:p w:rsidR="00ED7334" w:rsidRPr="00ED7334" w:rsidRDefault="00ED7334" w:rsidP="00ED7334">
      <w:pPr>
        <w:ind w:left="705"/>
        <w:rPr>
          <w:rFonts w:ascii="Arial" w:hAnsi="Arial" w:cs="Arial"/>
          <w:sz w:val="18"/>
        </w:rPr>
      </w:pPr>
      <w:r w:rsidRPr="00ED7334">
        <w:rPr>
          <w:rFonts w:ascii="Arial" w:hAnsi="Arial" w:cs="Arial"/>
          <w:sz w:val="18"/>
        </w:rPr>
        <w:t>En primer lugar, se aplican los postulados básicos de contabilidad gubernamental, los cuales incluyen principios como el de reconocimiento, valuación, presentación y revelación, entre otros. Estos postulados aseguran que la información financiera sea relevante, confiable y comparable, permitiendo u</w:t>
      </w:r>
      <w:r>
        <w:rPr>
          <w:rFonts w:ascii="Arial" w:hAnsi="Arial" w:cs="Arial"/>
          <w:sz w:val="18"/>
        </w:rPr>
        <w:t>na adecuada toma de decisiones.</w:t>
      </w:r>
    </w:p>
    <w:p w:rsidR="00ED7334" w:rsidRPr="00ED7334" w:rsidRDefault="00ED7334" w:rsidP="00ED7334">
      <w:pPr>
        <w:ind w:left="705"/>
        <w:rPr>
          <w:rFonts w:ascii="Arial" w:hAnsi="Arial" w:cs="Arial"/>
          <w:sz w:val="18"/>
        </w:rPr>
      </w:pPr>
      <w:r w:rsidRPr="00ED7334">
        <w:rPr>
          <w:rFonts w:ascii="Arial" w:hAnsi="Arial" w:cs="Arial"/>
          <w:sz w:val="18"/>
        </w:rPr>
        <w:t>Además, la Universidad se rige por la Ley General de Contabilidad Gubernamental, la cual establece los principios, bases, normas y procedimientos que regulan la contabilidad gubernamental en México. Esta ley asegura la uniformidad en la presentación de la información financiera, facilitando su análisis y comparación tant</w:t>
      </w:r>
      <w:r>
        <w:rPr>
          <w:rFonts w:ascii="Arial" w:hAnsi="Arial" w:cs="Arial"/>
          <w:sz w:val="18"/>
        </w:rPr>
        <w:t>o a nivel interno como externo.</w:t>
      </w:r>
    </w:p>
    <w:p w:rsidR="00ED7334" w:rsidRPr="00ED7334" w:rsidRDefault="00ED7334" w:rsidP="00ED7334">
      <w:pPr>
        <w:ind w:left="705"/>
        <w:rPr>
          <w:rFonts w:ascii="Arial" w:hAnsi="Arial" w:cs="Arial"/>
          <w:sz w:val="18"/>
        </w:rPr>
      </w:pPr>
      <w:r w:rsidRPr="00ED7334">
        <w:rPr>
          <w:rFonts w:ascii="Arial" w:hAnsi="Arial" w:cs="Arial"/>
          <w:sz w:val="18"/>
        </w:rPr>
        <w:t>Para la preparación de los estados financieros, se utiliza el Sistema de Contabilidad Gubernamental versión IV, el cual proporciona las herramientas necesarias para el registro y análisis de la información contable de manera eficiente y precisa. Además, se cuenta con un Manual de Contabilidad Gubernamental que establece los lineamientos y procedimientos específi</w:t>
      </w:r>
      <w:r>
        <w:rPr>
          <w:rFonts w:ascii="Arial" w:hAnsi="Arial" w:cs="Arial"/>
          <w:sz w:val="18"/>
        </w:rPr>
        <w:t>cos a seguir en la universidad.</w:t>
      </w:r>
    </w:p>
    <w:p w:rsidR="00ED7334" w:rsidRPr="00ED7334" w:rsidRDefault="00ED7334" w:rsidP="00ED7334">
      <w:pPr>
        <w:ind w:left="705"/>
        <w:rPr>
          <w:rFonts w:ascii="Arial" w:hAnsi="Arial" w:cs="Arial"/>
          <w:sz w:val="18"/>
        </w:rPr>
      </w:pPr>
      <w:r w:rsidRPr="00ED7334">
        <w:rPr>
          <w:rFonts w:ascii="Arial" w:hAnsi="Arial" w:cs="Arial"/>
          <w:sz w:val="18"/>
        </w:rPr>
        <w:t>La información registrada en los estados financieros no solo cumple con los requisitos legales y normativos, sino que también brinda una visión clara y detallada de la situación financiera de la universidad. Esto permite identificar áreas de oportunidad y tomar decisiones estratégicas orientadas a mejorar el servicio educativo ofrecido, tales como la optimización de recursos, la inversión en infraestructura y equipamiento, y el desarrollo de pr</w:t>
      </w:r>
      <w:r>
        <w:rPr>
          <w:rFonts w:ascii="Arial" w:hAnsi="Arial" w:cs="Arial"/>
          <w:sz w:val="18"/>
        </w:rPr>
        <w:t>ogramas académicos innovadores.</w:t>
      </w:r>
    </w:p>
    <w:p w:rsidR="00ED7334" w:rsidRDefault="00ED7334" w:rsidP="00ED7334">
      <w:pPr>
        <w:ind w:left="705"/>
        <w:rPr>
          <w:rFonts w:ascii="Arial" w:hAnsi="Arial" w:cs="Arial"/>
          <w:sz w:val="18"/>
        </w:rPr>
      </w:pPr>
      <w:r w:rsidRPr="00ED7334">
        <w:rPr>
          <w:rFonts w:ascii="Arial" w:hAnsi="Arial" w:cs="Arial"/>
          <w:sz w:val="18"/>
        </w:rPr>
        <w:t>En resumen, en la Universidad Autónoma de Tlaxcala, la preparación de los estados financieros se realiza en consonancia con los postulados básicos de contabilidad gubernamental y la Ley General de Contabilidad Gubernamental, garantizando así la transparencia, confiabilidad y utilidad de la información financiera para la mejora continua del servicio educativo.</w:t>
      </w:r>
      <w:r>
        <w:rPr>
          <w:rFonts w:ascii="Arial" w:hAnsi="Arial" w:cs="Arial"/>
          <w:sz w:val="18"/>
        </w:rPr>
        <w:t xml:space="preserve"> </w:t>
      </w:r>
    </w:p>
    <w:p w:rsidR="00ED7334" w:rsidRDefault="00ED7334" w:rsidP="00ED7334">
      <w:pPr>
        <w:ind w:left="705"/>
        <w:rPr>
          <w:rFonts w:ascii="Arial" w:hAnsi="Arial" w:cs="Arial"/>
          <w:sz w:val="18"/>
        </w:rPr>
      </w:pPr>
    </w:p>
    <w:p w:rsidR="00ED7334" w:rsidRDefault="00ED7334" w:rsidP="00ED7334">
      <w:pPr>
        <w:ind w:left="705"/>
        <w:rPr>
          <w:rFonts w:ascii="Arial" w:hAnsi="Arial" w:cs="Arial"/>
          <w:sz w:val="18"/>
        </w:rPr>
      </w:pPr>
    </w:p>
    <w:p w:rsidR="003F1813" w:rsidRPr="003F1813" w:rsidRDefault="003F1813" w:rsidP="00ED7334">
      <w:pPr>
        <w:ind w:left="705"/>
        <w:rPr>
          <w:rFonts w:ascii="Arial" w:hAnsi="Arial" w:cs="Arial"/>
          <w:sz w:val="18"/>
        </w:rPr>
      </w:pPr>
      <w:r w:rsidRPr="003F1813">
        <w:rPr>
          <w:rFonts w:ascii="Arial" w:hAnsi="Arial" w:cs="Arial"/>
          <w:sz w:val="18"/>
        </w:rPr>
        <w:t>La presente cuenta pública armonizada presentada por éste organismo autónomo se presenta con base en los siguientes fundamentos:</w:t>
      </w:r>
    </w:p>
    <w:p w:rsidR="003F1813" w:rsidRDefault="003F1813" w:rsidP="003F1813">
      <w:pPr>
        <w:ind w:left="705"/>
        <w:jc w:val="both"/>
        <w:rPr>
          <w:rFonts w:ascii="Arial" w:hAnsi="Arial" w:cs="Arial"/>
          <w:i/>
          <w:sz w:val="18"/>
        </w:rPr>
      </w:pPr>
      <w:r w:rsidRPr="003F1813">
        <w:rPr>
          <w:rFonts w:ascii="Arial" w:hAnsi="Arial" w:cs="Arial"/>
          <w:i/>
          <w:sz w:val="18"/>
        </w:rPr>
        <w:t xml:space="preserve">Lo dispuesto en los artículos 73 fracción XXVIII de la Constitución Política de los Estados Unidos Mexicanos; 1, 16, 17, 18 y 52 de la Ley General de Contabilidad Gubernamental; 54 </w:t>
      </w:r>
      <w:proofErr w:type="spellStart"/>
      <w:r w:rsidRPr="003F1813">
        <w:rPr>
          <w:rFonts w:ascii="Arial" w:hAnsi="Arial" w:cs="Arial"/>
          <w:i/>
          <w:sz w:val="18"/>
        </w:rPr>
        <w:t>fracc</w:t>
      </w:r>
      <w:proofErr w:type="spellEnd"/>
      <w:r w:rsidRPr="003F1813">
        <w:rPr>
          <w:rFonts w:ascii="Arial" w:hAnsi="Arial" w:cs="Arial"/>
          <w:i/>
          <w:sz w:val="18"/>
        </w:rPr>
        <w:t xml:space="preserve">. XVII, 104, de la Constitución política del Estado Libre y Soberano de Tlaxcala; 305, 310 y 311 del Código Financiero para el Estado de Tlaxcala y sus Municipios; 6, 7, 9, 12, 14 </w:t>
      </w:r>
      <w:proofErr w:type="spellStart"/>
      <w:r w:rsidRPr="003F1813">
        <w:rPr>
          <w:rFonts w:ascii="Arial" w:hAnsi="Arial" w:cs="Arial"/>
          <w:i/>
          <w:sz w:val="18"/>
        </w:rPr>
        <w:t>fracc</w:t>
      </w:r>
      <w:proofErr w:type="spellEnd"/>
      <w:r w:rsidRPr="003F1813">
        <w:rPr>
          <w:rFonts w:ascii="Arial" w:hAnsi="Arial" w:cs="Arial"/>
          <w:i/>
          <w:sz w:val="18"/>
        </w:rPr>
        <w:t>. II y 46 de la Ley de Fiscalización Superior del Estado de Tlaxcala y sus Municipios; Decreto No. 224 publicado el 19 de Mayo de 2016 en el Periódico Oficial del Gobierno del Estado, en el cual se reforman y adicionan diversas disposiciones de la Ley de Fiscalización Superior del Estado de Tlaxcala y sus Municipios.</w:t>
      </w:r>
    </w:p>
    <w:p w:rsidR="003F1813" w:rsidRPr="003F1813" w:rsidRDefault="003F1813" w:rsidP="003F1813">
      <w:pPr>
        <w:ind w:left="705"/>
        <w:rPr>
          <w:rFonts w:ascii="Arial" w:hAnsi="Arial" w:cs="Arial"/>
          <w:i/>
          <w:sz w:val="18"/>
        </w:rPr>
      </w:pPr>
    </w:p>
    <w:p w:rsidR="003F1813" w:rsidRPr="003F1813" w:rsidRDefault="003F1813" w:rsidP="003F1813">
      <w:pPr>
        <w:jc w:val="both"/>
        <w:rPr>
          <w:rFonts w:ascii="Arial" w:hAnsi="Arial" w:cs="Arial"/>
          <w:b/>
          <w:sz w:val="18"/>
        </w:rPr>
      </w:pPr>
      <w:r w:rsidRPr="003F1813">
        <w:rPr>
          <w:rFonts w:ascii="Arial" w:hAnsi="Arial" w:cs="Arial"/>
          <w:b/>
          <w:sz w:val="18"/>
        </w:rPr>
        <w:t>5. POLÍTICAS DE CONTABILIDAD GUBERNAMENTAL SIGNIFICATIVAS</w:t>
      </w:r>
      <w:r w:rsidR="00EF47CA">
        <w:rPr>
          <w:rFonts w:ascii="Arial" w:hAnsi="Arial" w:cs="Arial"/>
          <w:b/>
          <w:sz w:val="18"/>
        </w:rPr>
        <w:t>.</w:t>
      </w:r>
    </w:p>
    <w:p w:rsidR="003F1813" w:rsidRPr="003F1813" w:rsidRDefault="003F1813" w:rsidP="003F1813">
      <w:pPr>
        <w:ind w:left="708"/>
        <w:jc w:val="both"/>
        <w:rPr>
          <w:rFonts w:ascii="Arial" w:hAnsi="Arial" w:cs="Arial"/>
          <w:sz w:val="18"/>
        </w:rPr>
      </w:pPr>
      <w:r w:rsidRPr="003F1813">
        <w:rPr>
          <w:rFonts w:ascii="Arial" w:hAnsi="Arial" w:cs="Arial"/>
          <w:sz w:val="18"/>
        </w:rPr>
        <w:t>Para asegurar la integridad y confiabilidad de la información contable, se han establecido políticas significativas que guían el registro de los eventos financi</w:t>
      </w:r>
      <w:r>
        <w:rPr>
          <w:rFonts w:ascii="Arial" w:hAnsi="Arial" w:cs="Arial"/>
          <w:sz w:val="18"/>
        </w:rPr>
        <w:t>eros. Estas políticas incluyen:</w:t>
      </w:r>
    </w:p>
    <w:p w:rsidR="003F1813" w:rsidRPr="003F1813" w:rsidRDefault="003F1813" w:rsidP="003F1813">
      <w:pPr>
        <w:pStyle w:val="Prrafodelista"/>
        <w:numPr>
          <w:ilvl w:val="0"/>
          <w:numId w:val="38"/>
        </w:numPr>
        <w:ind w:left="1428"/>
        <w:jc w:val="both"/>
        <w:rPr>
          <w:rFonts w:ascii="Arial" w:hAnsi="Arial" w:cs="Arial"/>
          <w:sz w:val="18"/>
        </w:rPr>
      </w:pPr>
      <w:r w:rsidRPr="003F1813">
        <w:rPr>
          <w:rFonts w:ascii="Arial" w:hAnsi="Arial" w:cs="Arial"/>
          <w:sz w:val="18"/>
        </w:rPr>
        <w:t>Momentos contables precisos para el reconocimiento de ingresos y gastos.</w:t>
      </w:r>
    </w:p>
    <w:p w:rsidR="003F1813" w:rsidRPr="003F1813" w:rsidRDefault="003F1813" w:rsidP="003F1813">
      <w:pPr>
        <w:pStyle w:val="Prrafodelista"/>
        <w:numPr>
          <w:ilvl w:val="0"/>
          <w:numId w:val="38"/>
        </w:numPr>
        <w:ind w:left="1428"/>
        <w:jc w:val="both"/>
        <w:rPr>
          <w:rFonts w:ascii="Arial" w:hAnsi="Arial" w:cs="Arial"/>
          <w:sz w:val="18"/>
        </w:rPr>
      </w:pPr>
      <w:r w:rsidRPr="003F1813">
        <w:rPr>
          <w:rFonts w:ascii="Arial" w:hAnsi="Arial" w:cs="Arial"/>
          <w:sz w:val="18"/>
        </w:rPr>
        <w:t>Procedimientos para el registro y control de inventarios, garantizando su adecuada valuación y presentación en los estados financieros.</w:t>
      </w:r>
    </w:p>
    <w:p w:rsidR="003F1813" w:rsidRPr="003F1813" w:rsidRDefault="003F1813" w:rsidP="003F1813">
      <w:pPr>
        <w:pStyle w:val="Prrafodelista"/>
        <w:numPr>
          <w:ilvl w:val="0"/>
          <w:numId w:val="38"/>
        </w:numPr>
        <w:ind w:left="1428"/>
        <w:jc w:val="both"/>
        <w:rPr>
          <w:rFonts w:ascii="Arial" w:hAnsi="Arial" w:cs="Arial"/>
          <w:sz w:val="18"/>
        </w:rPr>
      </w:pPr>
      <w:r w:rsidRPr="003F1813">
        <w:rPr>
          <w:rFonts w:ascii="Arial" w:hAnsi="Arial" w:cs="Arial"/>
          <w:sz w:val="18"/>
        </w:rPr>
        <w:t>Establecimiento de provisiones para contingencias y pasivos potenciales de acuerdo con criterios establecidos.</w:t>
      </w:r>
    </w:p>
    <w:p w:rsidR="003F1813" w:rsidRPr="003F1813" w:rsidRDefault="003F1813" w:rsidP="003F1813">
      <w:pPr>
        <w:pStyle w:val="Prrafodelista"/>
        <w:numPr>
          <w:ilvl w:val="0"/>
          <w:numId w:val="38"/>
        </w:numPr>
        <w:ind w:left="1428"/>
        <w:jc w:val="both"/>
        <w:rPr>
          <w:rFonts w:ascii="Arial" w:hAnsi="Arial" w:cs="Arial"/>
          <w:sz w:val="18"/>
        </w:rPr>
      </w:pPr>
      <w:r w:rsidRPr="003F1813">
        <w:rPr>
          <w:rFonts w:ascii="Arial" w:hAnsi="Arial" w:cs="Arial"/>
          <w:sz w:val="18"/>
        </w:rPr>
        <w:t>Procesos de presupuestación que aseguren una asignación eficiente de recursos y un seguimiento adecuado del cumplimiento presupuestario.</w:t>
      </w:r>
    </w:p>
    <w:p w:rsidR="003F1813" w:rsidRPr="003F1813" w:rsidRDefault="003F1813" w:rsidP="003F1813">
      <w:pPr>
        <w:ind w:left="708"/>
        <w:jc w:val="both"/>
        <w:rPr>
          <w:rFonts w:ascii="Arial" w:hAnsi="Arial" w:cs="Arial"/>
          <w:sz w:val="18"/>
        </w:rPr>
      </w:pPr>
      <w:r w:rsidRPr="003F1813">
        <w:rPr>
          <w:rFonts w:ascii="Arial" w:hAnsi="Arial" w:cs="Arial"/>
          <w:sz w:val="18"/>
        </w:rPr>
        <w:t>Estas políticas están diseñadas para promover la transparencia, la responsabilidad y la eficiencia en la gestión financiera de la Universidad Autónoma de Tlaxcala.</w:t>
      </w:r>
    </w:p>
    <w:p w:rsidR="00ED7334" w:rsidRPr="00ED7334" w:rsidRDefault="00ED7334" w:rsidP="00ED7334">
      <w:pPr>
        <w:ind w:left="708"/>
        <w:jc w:val="both"/>
        <w:rPr>
          <w:rFonts w:ascii="Arial" w:hAnsi="Arial" w:cs="Arial"/>
          <w:sz w:val="18"/>
        </w:rPr>
      </w:pPr>
      <w:r w:rsidRPr="00ED7334">
        <w:rPr>
          <w:rFonts w:ascii="Arial" w:hAnsi="Arial" w:cs="Arial"/>
          <w:sz w:val="18"/>
        </w:rPr>
        <w:t>En la Universidad Autónoma de Tlaxcala, la valuación de activos y la medición de pasivos se llevan a cabo con un enfoque meticuloso y transparente, respaldado por políticas financieras sólidas y un compromiso firme con la responsabilidad fiscal y</w:t>
      </w:r>
      <w:r>
        <w:rPr>
          <w:rFonts w:ascii="Arial" w:hAnsi="Arial" w:cs="Arial"/>
          <w:sz w:val="18"/>
        </w:rPr>
        <w:t xml:space="preserve"> el bienestar de sus empleados.</w:t>
      </w:r>
    </w:p>
    <w:p w:rsidR="00ED7334" w:rsidRPr="00ED7334" w:rsidRDefault="00ED7334" w:rsidP="00ED7334">
      <w:pPr>
        <w:ind w:left="708"/>
        <w:jc w:val="both"/>
        <w:rPr>
          <w:rFonts w:ascii="Arial" w:hAnsi="Arial" w:cs="Arial"/>
          <w:sz w:val="18"/>
        </w:rPr>
      </w:pPr>
      <w:r w:rsidRPr="00ED7334">
        <w:rPr>
          <w:rFonts w:ascii="Arial" w:hAnsi="Arial" w:cs="Arial"/>
          <w:sz w:val="18"/>
        </w:rPr>
        <w:t>Para valuar sus activos, la universidad utiliza métodos reconocidos y aceptados en el ámbito contable, que incluyen la valoración a valor razonable, costo histórico, depreciación y evaluación de mercado, entre otros. Esta evaluación se realiza de manera periódica y rigurosa, garantizando la precisión y relevan</w:t>
      </w:r>
      <w:r>
        <w:rPr>
          <w:rFonts w:ascii="Arial" w:hAnsi="Arial" w:cs="Arial"/>
          <w:sz w:val="18"/>
        </w:rPr>
        <w:t>cia de la información contable.</w:t>
      </w:r>
    </w:p>
    <w:p w:rsidR="00ED7334" w:rsidRPr="00ED7334" w:rsidRDefault="00ED7334" w:rsidP="00ED7334">
      <w:pPr>
        <w:ind w:left="708"/>
        <w:jc w:val="both"/>
        <w:rPr>
          <w:rFonts w:ascii="Arial" w:hAnsi="Arial" w:cs="Arial"/>
          <w:sz w:val="18"/>
        </w:rPr>
      </w:pPr>
      <w:r w:rsidRPr="00ED7334">
        <w:rPr>
          <w:rFonts w:ascii="Arial" w:hAnsi="Arial" w:cs="Arial"/>
          <w:sz w:val="18"/>
        </w:rPr>
        <w:t>En cuanto a la medición de pasivos, la universidad sigue procedimientos y criterios establecidos en la normativa contable y fiscal vigente, asegurando la adecuada cuantificación de obligaciones financie</w:t>
      </w:r>
      <w:r>
        <w:rPr>
          <w:rFonts w:ascii="Arial" w:hAnsi="Arial" w:cs="Arial"/>
          <w:sz w:val="18"/>
        </w:rPr>
        <w:t>ras, laborales y contingencias.</w:t>
      </w:r>
    </w:p>
    <w:p w:rsidR="00ED7334" w:rsidRPr="00ED7334" w:rsidRDefault="00ED7334" w:rsidP="00ED7334">
      <w:pPr>
        <w:ind w:left="708"/>
        <w:jc w:val="both"/>
        <w:rPr>
          <w:rFonts w:ascii="Arial" w:hAnsi="Arial" w:cs="Arial"/>
          <w:sz w:val="18"/>
        </w:rPr>
      </w:pPr>
      <w:r w:rsidRPr="00ED7334">
        <w:rPr>
          <w:rFonts w:ascii="Arial" w:hAnsi="Arial" w:cs="Arial"/>
          <w:sz w:val="18"/>
        </w:rPr>
        <w:t>Es importante destacar que la Universidad Autónoma de Tlaxcala no cuenta con deuda gubernamental, lo que refleja una gestión financiera prudente y sostenible. Esto se debe, en parte, a la implementación de políticas de austeridad y ahorro, las cuales están plasmadas en su Plan de Austeridad y Ahorro autorizado por su máxi</w:t>
      </w:r>
      <w:r>
        <w:rPr>
          <w:rFonts w:ascii="Arial" w:hAnsi="Arial" w:cs="Arial"/>
          <w:sz w:val="18"/>
        </w:rPr>
        <w:t>mo Órgano de Gobierno.</w:t>
      </w:r>
    </w:p>
    <w:p w:rsidR="00ED7334" w:rsidRPr="00ED7334" w:rsidRDefault="00ED7334" w:rsidP="00ED7334">
      <w:pPr>
        <w:ind w:left="708"/>
        <w:jc w:val="both"/>
        <w:rPr>
          <w:rFonts w:ascii="Arial" w:hAnsi="Arial" w:cs="Arial"/>
          <w:sz w:val="18"/>
        </w:rPr>
      </w:pPr>
      <w:r w:rsidRPr="00ED7334">
        <w:rPr>
          <w:rFonts w:ascii="Arial" w:hAnsi="Arial" w:cs="Arial"/>
          <w:sz w:val="18"/>
        </w:rPr>
        <w:t>Este plan establece medidas concretas para optimizar el uso de los recursos financieros, reducir gastos innecesarios y promover la eficiencia en la gestión administrativa. Además, se enfoca en garantizar el beneficio y bienestar de los empleados mediante el respeto y cumplimiento del contrato colectivo de trabajo, el cual se acuerda y re</w:t>
      </w:r>
      <w:r>
        <w:rPr>
          <w:rFonts w:ascii="Arial" w:hAnsi="Arial" w:cs="Arial"/>
          <w:sz w:val="18"/>
        </w:rPr>
        <w:t>nueva en cada ejercicio fiscal.</w:t>
      </w:r>
    </w:p>
    <w:p w:rsidR="003F1813" w:rsidRPr="00ED7334" w:rsidRDefault="00ED7334" w:rsidP="00ED7334">
      <w:pPr>
        <w:ind w:left="708"/>
        <w:jc w:val="both"/>
        <w:rPr>
          <w:rFonts w:ascii="Arial" w:hAnsi="Arial" w:cs="Arial"/>
          <w:sz w:val="18"/>
        </w:rPr>
      </w:pPr>
      <w:r w:rsidRPr="00ED7334">
        <w:rPr>
          <w:rFonts w:ascii="Arial" w:hAnsi="Arial" w:cs="Arial"/>
          <w:sz w:val="18"/>
        </w:rPr>
        <w:t>En resumen, en la Universidad Autónoma de Tlaxcala, la valuación de activos, la medición de pasivos y la gestión financiera se realizan de manera responsable y transparente, apoyadas en políticas de austeridad y ahorro que aseguran el equilibrio financiero y el bienestar de la comunidad universitaria.</w:t>
      </w:r>
    </w:p>
    <w:bookmarkEnd w:id="0"/>
    <w:p w:rsidR="003F1813" w:rsidRPr="00667D50" w:rsidRDefault="003F1813" w:rsidP="00667D50"/>
    <w:sectPr w:rsidR="003F1813" w:rsidRPr="00667D50" w:rsidSect="000474FE">
      <w:headerReference w:type="even" r:id="rId17"/>
      <w:headerReference w:type="default" r:id="rId18"/>
      <w:footerReference w:type="even" r:id="rId19"/>
      <w:footerReference w:type="default" r:id="rId20"/>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E84" w:rsidRDefault="00567E84" w:rsidP="00EA5418">
      <w:pPr>
        <w:spacing w:after="0" w:line="240" w:lineRule="auto"/>
      </w:pPr>
      <w:r>
        <w:separator/>
      </w:r>
    </w:p>
  </w:endnote>
  <w:endnote w:type="continuationSeparator" w:id="0">
    <w:p w:rsidR="00567E84" w:rsidRDefault="00567E8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F5" w:rsidRPr="004E3EA4" w:rsidRDefault="00A96DF5"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7C557EB" wp14:editId="78CAACF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B208EC" w:rsidRPr="00B208EC">
          <w:rPr>
            <w:rFonts w:ascii="Arial" w:hAnsi="Arial" w:cs="Arial"/>
            <w:noProof/>
            <w:sz w:val="20"/>
            <w:lang w:val="es-ES"/>
          </w:rPr>
          <w:t>16</w:t>
        </w:r>
        <w:r w:rsidRPr="004E3EA4">
          <w:rPr>
            <w:rFonts w:ascii="Arial" w:hAnsi="Arial" w:cs="Arial"/>
            <w:sz w:val="20"/>
          </w:rPr>
          <w:fldChar w:fldCharType="end"/>
        </w:r>
      </w:sdtContent>
    </w:sdt>
  </w:p>
  <w:p w:rsidR="00A96DF5" w:rsidRDefault="00A96DF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F5" w:rsidRPr="003527CD" w:rsidRDefault="00A96DF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B208EC" w:rsidRPr="00B208EC">
          <w:rPr>
            <w:rFonts w:ascii="Arial" w:hAnsi="Arial" w:cs="Arial"/>
            <w:noProof/>
            <w:lang w:val="es-ES"/>
          </w:rPr>
          <w:t>15</w:t>
        </w:r>
        <w:r w:rsidRPr="003527CD">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E84" w:rsidRDefault="00567E84" w:rsidP="00EA5418">
      <w:pPr>
        <w:spacing w:after="0" w:line="240" w:lineRule="auto"/>
      </w:pPr>
      <w:r>
        <w:separator/>
      </w:r>
    </w:p>
  </w:footnote>
  <w:footnote w:type="continuationSeparator" w:id="0">
    <w:p w:rsidR="00567E84" w:rsidRDefault="00567E8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F5" w:rsidRDefault="00A96DF5" w:rsidP="007C1CF4">
    <w:pPr>
      <w:pStyle w:val="Encabezado"/>
      <w:ind w:left="720"/>
    </w:pPr>
    <w:r>
      <w:rPr>
        <w:noProof/>
        <w:lang w:eastAsia="es-MX"/>
      </w:rPr>
      <mc:AlternateContent>
        <mc:Choice Requires="wpg">
          <w:drawing>
            <wp:anchor distT="0" distB="0" distL="114300" distR="114300" simplePos="0" relativeHeight="251669504" behindDoc="0" locked="0" layoutInCell="1" allowOverlap="1" wp14:anchorId="5B2C6DE6" wp14:editId="52810358">
              <wp:simplePos x="0" y="0"/>
              <wp:positionH relativeFrom="column">
                <wp:posOffset>3369365</wp:posOffset>
              </wp:positionH>
              <wp:positionV relativeFrom="paragraph">
                <wp:posOffset>-360763</wp:posOffset>
              </wp:positionV>
              <wp:extent cx="1106170" cy="584200"/>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881"/>
                          <a:ext cx="8389" cy="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6DF5" w:rsidRDefault="00A96DF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rsidR="00A96DF5" w:rsidRPr="00DE4269" w:rsidRDefault="00A96DF5"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C6DE6" id="9 Grupo" o:spid="_x0000_s1026" style="position:absolute;left:0;text-align:left;margin-left:265.3pt;margin-top:-28.4pt;width:87.1pt;height:46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o7q5W0t3kb7qAsceg5rgf2Yf2mfD&#10;f7W3wf07xx4TGof2HqkkscH22HyZsxuUbK5OPmU96nmV+XqZSrU1UVJv3mm0urStd/K6+89Coooq&#10;jU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Q39sbyyliVtpkQrk9sj&#10;FeL/APBPT9kq6/Yl/Zb0P4d32tW/iC40ea5lN7Dbm3STzZmkxsLMRjdjrXt1FHmd1PMsRTwdTARf&#10;7upKEpKy1lBTUXfdWU5aLR312QUUUUHC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fixvb+9Rvb+9SY9qMe1Bm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B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L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TMp3CAAAA2gAAAA8AAABkcnMvZG93bnJldi54bWxEj81qAjEUhfdC3yHcgjsnowup04kyFARB&#10;F1UL7fIyuZ0MTW6mSdTp25tCocvD+fk49WZ0VlwpxN6zgnlRgiBuve65U/B23s6eQMSErNF6JgU/&#10;FGGzfpjUWGl/4yNdT6kTeYRjhQpMSkMlZWwNOYyFH4iz9+mDw5Rl6KQOeMvjzspFWS6lw54zweBA&#10;L4bar9PFZcj36jWW3bvZWqn13swbe/holJo+js0ziERj+g//tXdawRJ+r+QbIN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EzKdwgAAANoAAAAPAAAAAAAAAAAAAAAAAJ8C&#10;AABkcnMvZG93bnJldi54bWxQSwUGAAAAAAQABAD3AAAAjgM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028" type="#_x0000_t202" style="position:absolute;left:438;top:881;width:8389;height:3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A96DF5" w:rsidRDefault="00A96DF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rsidR="00A96DF5" w:rsidRPr="00DE4269" w:rsidRDefault="00A96DF5"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02D8B26D" wp14:editId="4E41C1FC">
              <wp:simplePos x="0" y="0"/>
              <wp:positionH relativeFrom="column">
                <wp:posOffset>-266700</wp:posOffset>
              </wp:positionH>
              <wp:positionV relativeFrom="paragraph">
                <wp:posOffset>-393065</wp:posOffset>
              </wp:positionV>
              <wp:extent cx="3648075" cy="68580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DF5" w:rsidRDefault="00A96DF5" w:rsidP="003C301B">
                          <w:pPr>
                            <w:spacing w:after="12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96DF5" w:rsidRDefault="00A96DF5" w:rsidP="003C301B">
                          <w:pPr>
                            <w:spacing w:after="12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96DF5" w:rsidRPr="00275FC6" w:rsidRDefault="00DF09B8" w:rsidP="003C301B">
                          <w:pPr>
                            <w:spacing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B26D" id="Cuadro de texto 5" o:spid="_x0000_s1029" type="#_x0000_t202" style="position:absolute;left:0;text-align:left;margin-left:-21pt;margin-top:-30.95pt;width:287.2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" filled="f" stroked="f">
              <v:textbox>
                <w:txbxContent>
                  <w:p w:rsidR="00A96DF5" w:rsidRDefault="00A96DF5" w:rsidP="003C301B">
                    <w:pPr>
                      <w:spacing w:after="12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96DF5" w:rsidRDefault="00A96DF5" w:rsidP="003C301B">
                    <w:pPr>
                      <w:spacing w:after="12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96DF5" w:rsidRPr="00275FC6" w:rsidRDefault="00DF09B8" w:rsidP="003C301B">
                    <w:pPr>
                      <w:spacing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A6A2B4C" wp14:editId="160BE4C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DC55C15"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F5" w:rsidRPr="003527CD" w:rsidRDefault="00A96DF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AUTÓNOMO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68307B7"/>
    <w:multiLevelType w:val="hybridMultilevel"/>
    <w:tmpl w:val="8124A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83B3A50"/>
    <w:multiLevelType w:val="hybridMultilevel"/>
    <w:tmpl w:val="96443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EE4821"/>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27635E0"/>
    <w:multiLevelType w:val="hybridMultilevel"/>
    <w:tmpl w:val="46B4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6D757907"/>
    <w:multiLevelType w:val="hybridMultilevel"/>
    <w:tmpl w:val="A628D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ACF2464"/>
    <w:multiLevelType w:val="hybridMultilevel"/>
    <w:tmpl w:val="F7C03392"/>
    <w:lvl w:ilvl="0" w:tplc="016E2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4"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5"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7" w15:restartNumberingAfterBreak="0">
    <w:nsid w:val="7F9E23F5"/>
    <w:multiLevelType w:val="hybridMultilevel"/>
    <w:tmpl w:val="8124A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20"/>
  </w:num>
  <w:num w:numId="4">
    <w:abstractNumId w:val="12"/>
  </w:num>
  <w:num w:numId="5">
    <w:abstractNumId w:val="16"/>
  </w:num>
  <w:num w:numId="6">
    <w:abstractNumId w:val="35"/>
  </w:num>
  <w:num w:numId="7">
    <w:abstractNumId w:val="27"/>
  </w:num>
  <w:num w:numId="8">
    <w:abstractNumId w:val="22"/>
  </w:num>
  <w:num w:numId="9">
    <w:abstractNumId w:val="11"/>
  </w:num>
  <w:num w:numId="10">
    <w:abstractNumId w:val="4"/>
  </w:num>
  <w:num w:numId="11">
    <w:abstractNumId w:val="0"/>
  </w:num>
  <w:num w:numId="12">
    <w:abstractNumId w:val="9"/>
  </w:num>
  <w:num w:numId="13">
    <w:abstractNumId w:val="28"/>
  </w:num>
  <w:num w:numId="14">
    <w:abstractNumId w:val="24"/>
  </w:num>
  <w:num w:numId="15">
    <w:abstractNumId w:val="15"/>
  </w:num>
  <w:num w:numId="16">
    <w:abstractNumId w:val="3"/>
  </w:num>
  <w:num w:numId="17">
    <w:abstractNumId w:val="14"/>
  </w:num>
  <w:num w:numId="18">
    <w:abstractNumId w:val="19"/>
  </w:num>
  <w:num w:numId="19">
    <w:abstractNumId w:val="18"/>
  </w:num>
  <w:num w:numId="20">
    <w:abstractNumId w:val="7"/>
  </w:num>
  <w:num w:numId="21">
    <w:abstractNumId w:val="10"/>
  </w:num>
  <w:num w:numId="22">
    <w:abstractNumId w:val="31"/>
  </w:num>
  <w:num w:numId="23">
    <w:abstractNumId w:val="30"/>
  </w:num>
  <w:num w:numId="24">
    <w:abstractNumId w:val="21"/>
  </w:num>
  <w:num w:numId="25">
    <w:abstractNumId w:val="34"/>
  </w:num>
  <w:num w:numId="26">
    <w:abstractNumId w:val="13"/>
  </w:num>
  <w:num w:numId="27">
    <w:abstractNumId w:val="32"/>
  </w:num>
  <w:num w:numId="28">
    <w:abstractNumId w:val="26"/>
  </w:num>
  <w:num w:numId="29">
    <w:abstractNumId w:val="17"/>
  </w:num>
  <w:num w:numId="30">
    <w:abstractNumId w:val="36"/>
  </w:num>
  <w:num w:numId="31">
    <w:abstractNumId w:val="6"/>
  </w:num>
  <w:num w:numId="32">
    <w:abstractNumId w:val="29"/>
  </w:num>
  <w:num w:numId="33">
    <w:abstractNumId w:val="8"/>
  </w:num>
  <w:num w:numId="34">
    <w:abstractNumId w:val="37"/>
  </w:num>
  <w:num w:numId="35">
    <w:abstractNumId w:val="33"/>
  </w:num>
  <w:num w:numId="36">
    <w:abstractNumId w:val="23"/>
  </w:num>
  <w:num w:numId="37">
    <w:abstractNumId w:val="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1A33"/>
    <w:rsid w:val="00052047"/>
    <w:rsid w:val="00054C4D"/>
    <w:rsid w:val="00056EDF"/>
    <w:rsid w:val="000574E6"/>
    <w:rsid w:val="00057C1C"/>
    <w:rsid w:val="00062509"/>
    <w:rsid w:val="00063159"/>
    <w:rsid w:val="000655E4"/>
    <w:rsid w:val="0006610A"/>
    <w:rsid w:val="00066325"/>
    <w:rsid w:val="0006668A"/>
    <w:rsid w:val="0006755E"/>
    <w:rsid w:val="00072BA1"/>
    <w:rsid w:val="0007333B"/>
    <w:rsid w:val="000747D7"/>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2AD"/>
    <w:rsid w:val="000C7FBB"/>
    <w:rsid w:val="000D01E9"/>
    <w:rsid w:val="000D0EE3"/>
    <w:rsid w:val="000D1B56"/>
    <w:rsid w:val="000D4D45"/>
    <w:rsid w:val="000D553D"/>
    <w:rsid w:val="000E0A96"/>
    <w:rsid w:val="000E10A7"/>
    <w:rsid w:val="000E4072"/>
    <w:rsid w:val="000E5C7A"/>
    <w:rsid w:val="000E6692"/>
    <w:rsid w:val="000E6B5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41E9"/>
    <w:rsid w:val="00125004"/>
    <w:rsid w:val="00126F62"/>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A3F6A"/>
    <w:rsid w:val="001A543A"/>
    <w:rsid w:val="001A575F"/>
    <w:rsid w:val="001A78A4"/>
    <w:rsid w:val="001B029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39E9"/>
    <w:rsid w:val="002F502D"/>
    <w:rsid w:val="002F546C"/>
    <w:rsid w:val="00300EF3"/>
    <w:rsid w:val="00300F57"/>
    <w:rsid w:val="0030292A"/>
    <w:rsid w:val="00302E39"/>
    <w:rsid w:val="00310A44"/>
    <w:rsid w:val="00311228"/>
    <w:rsid w:val="00311255"/>
    <w:rsid w:val="003113C3"/>
    <w:rsid w:val="00312040"/>
    <w:rsid w:val="00313B1C"/>
    <w:rsid w:val="003156F1"/>
    <w:rsid w:val="003171B4"/>
    <w:rsid w:val="003214D1"/>
    <w:rsid w:val="0032152C"/>
    <w:rsid w:val="0032384C"/>
    <w:rsid w:val="00323D16"/>
    <w:rsid w:val="00324311"/>
    <w:rsid w:val="00327048"/>
    <w:rsid w:val="00327701"/>
    <w:rsid w:val="00327740"/>
    <w:rsid w:val="00331185"/>
    <w:rsid w:val="00332091"/>
    <w:rsid w:val="0033398C"/>
    <w:rsid w:val="00334098"/>
    <w:rsid w:val="0033515C"/>
    <w:rsid w:val="00336610"/>
    <w:rsid w:val="00336B8F"/>
    <w:rsid w:val="00337331"/>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6ED2"/>
    <w:rsid w:val="003A731F"/>
    <w:rsid w:val="003A7ADE"/>
    <w:rsid w:val="003B1B0C"/>
    <w:rsid w:val="003B55DA"/>
    <w:rsid w:val="003C301B"/>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1813"/>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427"/>
    <w:rsid w:val="004C5E7B"/>
    <w:rsid w:val="004D30E1"/>
    <w:rsid w:val="004D3E91"/>
    <w:rsid w:val="004D41B8"/>
    <w:rsid w:val="004D5BEA"/>
    <w:rsid w:val="004E3EA4"/>
    <w:rsid w:val="004E6076"/>
    <w:rsid w:val="004E68FC"/>
    <w:rsid w:val="004F53E3"/>
    <w:rsid w:val="004F542A"/>
    <w:rsid w:val="004F5641"/>
    <w:rsid w:val="004F6EBD"/>
    <w:rsid w:val="0050183B"/>
    <w:rsid w:val="00502B19"/>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455E1"/>
    <w:rsid w:val="00550363"/>
    <w:rsid w:val="00551999"/>
    <w:rsid w:val="00553CB3"/>
    <w:rsid w:val="00556D2F"/>
    <w:rsid w:val="00556DC7"/>
    <w:rsid w:val="0056081A"/>
    <w:rsid w:val="00562D1C"/>
    <w:rsid w:val="00563458"/>
    <w:rsid w:val="00565576"/>
    <w:rsid w:val="0056773F"/>
    <w:rsid w:val="00567E84"/>
    <w:rsid w:val="00567FA2"/>
    <w:rsid w:val="00570444"/>
    <w:rsid w:val="0057089C"/>
    <w:rsid w:val="005712C2"/>
    <w:rsid w:val="00574266"/>
    <w:rsid w:val="00574570"/>
    <w:rsid w:val="00575EE0"/>
    <w:rsid w:val="005768CC"/>
    <w:rsid w:val="005768EA"/>
    <w:rsid w:val="00576C8C"/>
    <w:rsid w:val="00577454"/>
    <w:rsid w:val="005774CE"/>
    <w:rsid w:val="00577617"/>
    <w:rsid w:val="00584AB0"/>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400"/>
    <w:rsid w:val="005C0524"/>
    <w:rsid w:val="005C0F25"/>
    <w:rsid w:val="005C1613"/>
    <w:rsid w:val="005C162E"/>
    <w:rsid w:val="005C1E73"/>
    <w:rsid w:val="005C36BD"/>
    <w:rsid w:val="005C36E3"/>
    <w:rsid w:val="005C4BC3"/>
    <w:rsid w:val="005C58B3"/>
    <w:rsid w:val="005D0D10"/>
    <w:rsid w:val="005D296A"/>
    <w:rsid w:val="005D3D25"/>
    <w:rsid w:val="005D5223"/>
    <w:rsid w:val="005D568E"/>
    <w:rsid w:val="005E39FD"/>
    <w:rsid w:val="005E68A5"/>
    <w:rsid w:val="005E7914"/>
    <w:rsid w:val="005F253A"/>
    <w:rsid w:val="005F2C1D"/>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00E"/>
    <w:rsid w:val="00650760"/>
    <w:rsid w:val="006519BC"/>
    <w:rsid w:val="00651FB7"/>
    <w:rsid w:val="006537A5"/>
    <w:rsid w:val="00653A66"/>
    <w:rsid w:val="0065446E"/>
    <w:rsid w:val="006548F6"/>
    <w:rsid w:val="0065525F"/>
    <w:rsid w:val="00655EB2"/>
    <w:rsid w:val="00657057"/>
    <w:rsid w:val="00660015"/>
    <w:rsid w:val="00661A17"/>
    <w:rsid w:val="006653EB"/>
    <w:rsid w:val="00667D50"/>
    <w:rsid w:val="0067011A"/>
    <w:rsid w:val="0067443A"/>
    <w:rsid w:val="00675B86"/>
    <w:rsid w:val="00677384"/>
    <w:rsid w:val="006774BF"/>
    <w:rsid w:val="006822AA"/>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D6C9F"/>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15D92"/>
    <w:rsid w:val="00720256"/>
    <w:rsid w:val="007217FD"/>
    <w:rsid w:val="00721EA3"/>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86B0E"/>
    <w:rsid w:val="00790B78"/>
    <w:rsid w:val="0079158C"/>
    <w:rsid w:val="00792F61"/>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2CFC"/>
    <w:rsid w:val="00803059"/>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C6B4E"/>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149A"/>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3DE7"/>
    <w:rsid w:val="009D5D4C"/>
    <w:rsid w:val="009E2520"/>
    <w:rsid w:val="009E51F8"/>
    <w:rsid w:val="009E5D6E"/>
    <w:rsid w:val="009F239C"/>
    <w:rsid w:val="009F23C4"/>
    <w:rsid w:val="009F270C"/>
    <w:rsid w:val="009F564C"/>
    <w:rsid w:val="009F5E29"/>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6DF5"/>
    <w:rsid w:val="00A97E66"/>
    <w:rsid w:val="00AA05F2"/>
    <w:rsid w:val="00AA16F7"/>
    <w:rsid w:val="00AA1AB3"/>
    <w:rsid w:val="00AA3279"/>
    <w:rsid w:val="00AA6498"/>
    <w:rsid w:val="00AA7AE3"/>
    <w:rsid w:val="00AB1373"/>
    <w:rsid w:val="00AB2062"/>
    <w:rsid w:val="00AB31F3"/>
    <w:rsid w:val="00AB3613"/>
    <w:rsid w:val="00AB5D6A"/>
    <w:rsid w:val="00AC2CB6"/>
    <w:rsid w:val="00AD27C1"/>
    <w:rsid w:val="00AD46DD"/>
    <w:rsid w:val="00AD4F95"/>
    <w:rsid w:val="00AD5E8D"/>
    <w:rsid w:val="00AE0E84"/>
    <w:rsid w:val="00AE2CC1"/>
    <w:rsid w:val="00AE30F7"/>
    <w:rsid w:val="00AE32DD"/>
    <w:rsid w:val="00AF0694"/>
    <w:rsid w:val="00AF4311"/>
    <w:rsid w:val="00AF4C0F"/>
    <w:rsid w:val="00AF4DBC"/>
    <w:rsid w:val="00AF68D1"/>
    <w:rsid w:val="00B006FD"/>
    <w:rsid w:val="00B0402E"/>
    <w:rsid w:val="00B04ACD"/>
    <w:rsid w:val="00B04DFA"/>
    <w:rsid w:val="00B052B4"/>
    <w:rsid w:val="00B06D4E"/>
    <w:rsid w:val="00B073ED"/>
    <w:rsid w:val="00B10DA4"/>
    <w:rsid w:val="00B11CB7"/>
    <w:rsid w:val="00B146E2"/>
    <w:rsid w:val="00B14AB7"/>
    <w:rsid w:val="00B15C1F"/>
    <w:rsid w:val="00B208EC"/>
    <w:rsid w:val="00B223C1"/>
    <w:rsid w:val="00B22704"/>
    <w:rsid w:val="00B22AC4"/>
    <w:rsid w:val="00B23F18"/>
    <w:rsid w:val="00B27916"/>
    <w:rsid w:val="00B27A40"/>
    <w:rsid w:val="00B31BB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074E"/>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46E"/>
    <w:rsid w:val="00C74C79"/>
    <w:rsid w:val="00C751B6"/>
    <w:rsid w:val="00C7680C"/>
    <w:rsid w:val="00C81A32"/>
    <w:rsid w:val="00C81B7E"/>
    <w:rsid w:val="00C83A20"/>
    <w:rsid w:val="00C862B1"/>
    <w:rsid w:val="00C86C59"/>
    <w:rsid w:val="00C91C5A"/>
    <w:rsid w:val="00C92668"/>
    <w:rsid w:val="00C95974"/>
    <w:rsid w:val="00C97083"/>
    <w:rsid w:val="00C97412"/>
    <w:rsid w:val="00C97770"/>
    <w:rsid w:val="00CA24BE"/>
    <w:rsid w:val="00CA2A37"/>
    <w:rsid w:val="00CA37AE"/>
    <w:rsid w:val="00CA5CDF"/>
    <w:rsid w:val="00CA631E"/>
    <w:rsid w:val="00CA7A99"/>
    <w:rsid w:val="00CB1A6E"/>
    <w:rsid w:val="00CB1D42"/>
    <w:rsid w:val="00CB45AD"/>
    <w:rsid w:val="00CB72A9"/>
    <w:rsid w:val="00CB7B1B"/>
    <w:rsid w:val="00CC073E"/>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56F47"/>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35F3"/>
    <w:rsid w:val="00DD47AF"/>
    <w:rsid w:val="00DD4F48"/>
    <w:rsid w:val="00DD6C54"/>
    <w:rsid w:val="00DD6DC0"/>
    <w:rsid w:val="00DD6FB4"/>
    <w:rsid w:val="00DE2F50"/>
    <w:rsid w:val="00DE4269"/>
    <w:rsid w:val="00DE43DC"/>
    <w:rsid w:val="00DE5274"/>
    <w:rsid w:val="00DE621F"/>
    <w:rsid w:val="00DE62C8"/>
    <w:rsid w:val="00DE6B8B"/>
    <w:rsid w:val="00DF0216"/>
    <w:rsid w:val="00DF09B8"/>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26F12"/>
    <w:rsid w:val="00E30318"/>
    <w:rsid w:val="00E32708"/>
    <w:rsid w:val="00E32B77"/>
    <w:rsid w:val="00E33BBD"/>
    <w:rsid w:val="00E37034"/>
    <w:rsid w:val="00E37782"/>
    <w:rsid w:val="00E40F44"/>
    <w:rsid w:val="00E44022"/>
    <w:rsid w:val="00E442EC"/>
    <w:rsid w:val="00E45112"/>
    <w:rsid w:val="00E505EF"/>
    <w:rsid w:val="00E5134B"/>
    <w:rsid w:val="00E514F6"/>
    <w:rsid w:val="00E545B2"/>
    <w:rsid w:val="00E57C06"/>
    <w:rsid w:val="00E62975"/>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334"/>
    <w:rsid w:val="00ED79E2"/>
    <w:rsid w:val="00EE04FF"/>
    <w:rsid w:val="00EE0F4C"/>
    <w:rsid w:val="00EE2F63"/>
    <w:rsid w:val="00EE3D4E"/>
    <w:rsid w:val="00EE46FB"/>
    <w:rsid w:val="00EF1F7C"/>
    <w:rsid w:val="00EF47CA"/>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ABF"/>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B7101"/>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8930">
      <w:bodyDiv w:val="1"/>
      <w:marLeft w:val="0"/>
      <w:marRight w:val="0"/>
      <w:marTop w:val="0"/>
      <w:marBottom w:val="0"/>
      <w:divBdr>
        <w:top w:val="none" w:sz="0" w:space="0" w:color="auto"/>
        <w:left w:val="none" w:sz="0" w:space="0" w:color="auto"/>
        <w:bottom w:val="none" w:sz="0" w:space="0" w:color="auto"/>
        <w:right w:val="none" w:sz="0" w:space="0" w:color="auto"/>
      </w:divBdr>
    </w:div>
    <w:div w:id="39474833">
      <w:bodyDiv w:val="1"/>
      <w:marLeft w:val="0"/>
      <w:marRight w:val="0"/>
      <w:marTop w:val="0"/>
      <w:marBottom w:val="0"/>
      <w:divBdr>
        <w:top w:val="none" w:sz="0" w:space="0" w:color="auto"/>
        <w:left w:val="none" w:sz="0" w:space="0" w:color="auto"/>
        <w:bottom w:val="none" w:sz="0" w:space="0" w:color="auto"/>
        <w:right w:val="none" w:sz="0" w:space="0" w:color="auto"/>
      </w:divBdr>
    </w:div>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62092923">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325590776">
      <w:bodyDiv w:val="1"/>
      <w:marLeft w:val="0"/>
      <w:marRight w:val="0"/>
      <w:marTop w:val="0"/>
      <w:marBottom w:val="0"/>
      <w:divBdr>
        <w:top w:val="none" w:sz="0" w:space="0" w:color="auto"/>
        <w:left w:val="none" w:sz="0" w:space="0" w:color="auto"/>
        <w:bottom w:val="none" w:sz="0" w:space="0" w:color="auto"/>
        <w:right w:val="none" w:sz="0" w:space="0" w:color="auto"/>
      </w:divBdr>
    </w:div>
    <w:div w:id="331416264">
      <w:bodyDiv w:val="1"/>
      <w:marLeft w:val="0"/>
      <w:marRight w:val="0"/>
      <w:marTop w:val="0"/>
      <w:marBottom w:val="0"/>
      <w:divBdr>
        <w:top w:val="none" w:sz="0" w:space="0" w:color="auto"/>
        <w:left w:val="none" w:sz="0" w:space="0" w:color="auto"/>
        <w:bottom w:val="none" w:sz="0" w:space="0" w:color="auto"/>
        <w:right w:val="none" w:sz="0" w:space="0" w:color="auto"/>
      </w:divBdr>
    </w:div>
    <w:div w:id="386614823">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582422318">
      <w:bodyDiv w:val="1"/>
      <w:marLeft w:val="0"/>
      <w:marRight w:val="0"/>
      <w:marTop w:val="0"/>
      <w:marBottom w:val="0"/>
      <w:divBdr>
        <w:top w:val="none" w:sz="0" w:space="0" w:color="auto"/>
        <w:left w:val="none" w:sz="0" w:space="0" w:color="auto"/>
        <w:bottom w:val="none" w:sz="0" w:space="0" w:color="auto"/>
        <w:right w:val="none" w:sz="0" w:space="0" w:color="auto"/>
      </w:divBdr>
    </w:div>
    <w:div w:id="586352542">
      <w:bodyDiv w:val="1"/>
      <w:marLeft w:val="0"/>
      <w:marRight w:val="0"/>
      <w:marTop w:val="0"/>
      <w:marBottom w:val="0"/>
      <w:divBdr>
        <w:top w:val="none" w:sz="0" w:space="0" w:color="auto"/>
        <w:left w:val="none" w:sz="0" w:space="0" w:color="auto"/>
        <w:bottom w:val="none" w:sz="0" w:space="0" w:color="auto"/>
        <w:right w:val="none" w:sz="0" w:space="0" w:color="auto"/>
      </w:divBdr>
    </w:div>
    <w:div w:id="625047880">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638537852">
      <w:bodyDiv w:val="1"/>
      <w:marLeft w:val="0"/>
      <w:marRight w:val="0"/>
      <w:marTop w:val="0"/>
      <w:marBottom w:val="0"/>
      <w:divBdr>
        <w:top w:val="none" w:sz="0" w:space="0" w:color="auto"/>
        <w:left w:val="none" w:sz="0" w:space="0" w:color="auto"/>
        <w:bottom w:val="none" w:sz="0" w:space="0" w:color="auto"/>
        <w:right w:val="none" w:sz="0" w:space="0" w:color="auto"/>
      </w:divBdr>
    </w:div>
    <w:div w:id="653215746">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73206894">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01133140">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37967320">
      <w:bodyDiv w:val="1"/>
      <w:marLeft w:val="0"/>
      <w:marRight w:val="0"/>
      <w:marTop w:val="0"/>
      <w:marBottom w:val="0"/>
      <w:divBdr>
        <w:top w:val="none" w:sz="0" w:space="0" w:color="auto"/>
        <w:left w:val="none" w:sz="0" w:space="0" w:color="auto"/>
        <w:bottom w:val="none" w:sz="0" w:space="0" w:color="auto"/>
        <w:right w:val="none" w:sz="0" w:space="0" w:color="auto"/>
      </w:divBdr>
    </w:div>
    <w:div w:id="1057555633">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36066847">
      <w:bodyDiv w:val="1"/>
      <w:marLeft w:val="0"/>
      <w:marRight w:val="0"/>
      <w:marTop w:val="0"/>
      <w:marBottom w:val="0"/>
      <w:divBdr>
        <w:top w:val="none" w:sz="0" w:space="0" w:color="auto"/>
        <w:left w:val="none" w:sz="0" w:space="0" w:color="auto"/>
        <w:bottom w:val="none" w:sz="0" w:space="0" w:color="auto"/>
        <w:right w:val="none" w:sz="0" w:space="0" w:color="auto"/>
      </w:divBdr>
    </w:div>
    <w:div w:id="1170217192">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96777858">
      <w:bodyDiv w:val="1"/>
      <w:marLeft w:val="0"/>
      <w:marRight w:val="0"/>
      <w:marTop w:val="0"/>
      <w:marBottom w:val="0"/>
      <w:divBdr>
        <w:top w:val="none" w:sz="0" w:space="0" w:color="auto"/>
        <w:left w:val="none" w:sz="0" w:space="0" w:color="auto"/>
        <w:bottom w:val="none" w:sz="0" w:space="0" w:color="auto"/>
        <w:right w:val="none" w:sz="0" w:space="0" w:color="auto"/>
      </w:divBdr>
    </w:div>
    <w:div w:id="1408191352">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86893347">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6941235">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83761398">
      <w:bodyDiv w:val="1"/>
      <w:marLeft w:val="0"/>
      <w:marRight w:val="0"/>
      <w:marTop w:val="0"/>
      <w:marBottom w:val="0"/>
      <w:divBdr>
        <w:top w:val="none" w:sz="0" w:space="0" w:color="auto"/>
        <w:left w:val="none" w:sz="0" w:space="0" w:color="auto"/>
        <w:bottom w:val="none" w:sz="0" w:space="0" w:color="auto"/>
        <w:right w:val="none" w:sz="0" w:space="0" w:color="auto"/>
      </w:divBdr>
    </w:div>
    <w:div w:id="1590429419">
      <w:bodyDiv w:val="1"/>
      <w:marLeft w:val="0"/>
      <w:marRight w:val="0"/>
      <w:marTop w:val="0"/>
      <w:marBottom w:val="0"/>
      <w:divBdr>
        <w:top w:val="none" w:sz="0" w:space="0" w:color="auto"/>
        <w:left w:val="none" w:sz="0" w:space="0" w:color="auto"/>
        <w:bottom w:val="none" w:sz="0" w:space="0" w:color="auto"/>
        <w:right w:val="none" w:sz="0" w:space="0" w:color="auto"/>
      </w:divBdr>
    </w:div>
    <w:div w:id="160800182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16349761">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11429624">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3364066">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085451410">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33163280">
      <w:bodyDiv w:val="1"/>
      <w:marLeft w:val="0"/>
      <w:marRight w:val="0"/>
      <w:marTop w:val="0"/>
      <w:marBottom w:val="0"/>
      <w:divBdr>
        <w:top w:val="none" w:sz="0" w:space="0" w:color="auto"/>
        <w:left w:val="none" w:sz="0" w:space="0" w:color="auto"/>
        <w:bottom w:val="none" w:sz="0" w:space="0" w:color="auto"/>
        <w:right w:val="none" w:sz="0" w:space="0" w:color="auto"/>
      </w:divBdr>
    </w:div>
    <w:div w:id="2135437200">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CCD24-FE59-4C96-B365-FA7EB00D4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2829</Words>
  <Characters>15562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UAT</cp:lastModifiedBy>
  <cp:revision>3</cp:revision>
  <cp:lastPrinted>2024-04-17T16:46:00Z</cp:lastPrinted>
  <dcterms:created xsi:type="dcterms:W3CDTF">2024-04-17T16:48:00Z</dcterms:created>
  <dcterms:modified xsi:type="dcterms:W3CDTF">2024-04-17T16:50:00Z</dcterms:modified>
</cp:coreProperties>
</file>