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9.1pt;margin-top:6pt;width:810.35pt;height:644.55pt;z-index:-251652096;mso-position-horizontal-relative:text;mso-position-vertical-relative:text;mso-width-relative:page;mso-height-relative:page">
            <v:imagedata r:id="rId8" o:title=""/>
          </v:shape>
          <o:OLEObject Type="Embed" ProgID="Excel.Sheet.12" ShapeID="_x0000_s2101" DrawAspect="Content" ObjectID="_1782813071"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000000" w:rsidP="003926A7">
      <w:pPr>
        <w:tabs>
          <w:tab w:val="right" w:pos="9360"/>
        </w:tabs>
      </w:pPr>
      <w:r>
        <w:rPr>
          <w:noProof/>
        </w:rPr>
        <w:lastRenderedPageBreak/>
        <w:object w:dxaOrig="1440" w:dyaOrig="1440" w14:anchorId="58913841">
          <v:shape id="_x0000_s2080" type="#_x0000_t75" style="position:absolute;margin-left:-55.5pt;margin-top:31.9pt;width:596.8pt;height:616.65pt;z-index:-251655168;mso-position-horizontal-relative:text;mso-position-vertical-relative:text">
            <v:imagedata r:id="rId10" o:title=""/>
            <w10:wrap side="right"/>
          </v:shape>
          <o:OLEObject Type="Embed" ProgID="Excel.Sheet.12" ShapeID="_x0000_s2080" DrawAspect="Content" ObjectID="_1782813072"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39.5pt;margin-top:3.35pt;width:602.75pt;height:670.45pt;z-index:-251651072;mso-position-horizontal-relative:text;mso-position-vertical-relative:text;mso-width-relative:page;mso-height-relative:page">
            <v:imagedata r:id="rId12" o:title=""/>
          </v:shape>
          <o:OLEObject Type="Embed" ProgID="Excel.Sheet.12" ShapeID="_x0000_s2102" DrawAspect="Content" ObjectID="_1782813073"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3E6F0DEC" w:rsidR="00215B92" w:rsidRDefault="00F21F02" w:rsidP="00215B92">
      <w:pPr>
        <w:ind w:firstLine="708"/>
      </w:pPr>
      <w:r>
        <w:lastRenderedPageBreak/>
        <w:t xml:space="preserve"> </w:t>
      </w:r>
    </w:p>
    <w:p w14:paraId="739824E7" w14:textId="4575E483" w:rsidR="00215B92" w:rsidRDefault="00000000" w:rsidP="00215B92">
      <w:pPr>
        <w:ind w:firstLine="708"/>
      </w:pPr>
      <w:r>
        <w:rPr>
          <w:noProof/>
        </w:rPr>
        <w:object w:dxaOrig="1440" w:dyaOrig="1440" w14:anchorId="54BE0AF3">
          <v:shape id="_x0000_s2095" type="#_x0000_t75" style="position:absolute;left:0;text-align:left;margin-left:-38pt;margin-top:10.95pt;width:542.7pt;height:612.8pt;z-index:251663360;mso-position-horizontal-relative:text;mso-position-vertical-relative:text">
            <v:imagedata r:id="rId14" o:title=""/>
            <w10:wrap side="right"/>
          </v:shape>
          <o:OLEObject Type="Embed" ProgID="Excel.Sheet.12" ShapeID="_x0000_s2095" DrawAspect="Content" ObjectID="_1782813074" r:id="rId15"/>
        </w:object>
      </w: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60pt;margin-top:23.3pt;width:570.1pt;height:630.95pt;z-index:251667456;mso-position-horizontal-relative:text;mso-position-vertical-relative:text;mso-width-relative:page;mso-height-relative:page">
            <v:imagedata r:id="rId16" o:title=""/>
          </v:shape>
          <o:OLEObject Type="Embed" ProgID="Excel.Sheet.12" ShapeID="_x0000_s2104" DrawAspect="Content" ObjectID="_1782813075"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000000" w:rsidP="00215B92">
      <w:pPr>
        <w:ind w:firstLine="708"/>
      </w:pPr>
      <w:r>
        <w:rPr>
          <w:noProof/>
        </w:rPr>
        <w:lastRenderedPageBreak/>
        <w:object w:dxaOrig="1440" w:dyaOrig="1440" w14:anchorId="1B198261">
          <v:shape id="_x0000_s2088" type="#_x0000_t75" style="position:absolute;left:0;text-align:left;margin-left:-51.15pt;margin-top:28.95pt;width:558.85pt;height:635.35pt;z-index:251662336;mso-position-horizontal-relative:text;mso-position-vertical-relative:text">
            <v:imagedata r:id="rId18" o:title=""/>
            <w10:wrap side="right"/>
          </v:shape>
          <o:OLEObject Type="Embed" ProgID="Excel.Sheet.12" ShapeID="_x0000_s2088" DrawAspect="Content" ObjectID="_1782813076"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55.05pt;margin-top:20.85pt;width:580.65pt;height:654.75pt;z-index:251666432;mso-position-horizontal-relative:text;mso-position-vertical-relative:text;mso-width-relative:page;mso-height-relative:page">
            <v:imagedata r:id="rId20" o:title=""/>
          </v:shape>
          <o:OLEObject Type="Embed" ProgID="Excel.Sheet.12" ShapeID="_x0000_s2103" DrawAspect="Content" ObjectID="_1782813077"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65BB17B2" w14:textId="77777777" w:rsidR="006F0A08" w:rsidRDefault="006F0A08" w:rsidP="006F0A08">
      <w:pPr>
        <w:spacing w:after="0"/>
        <w:jc w:val="center"/>
        <w:rPr>
          <w:rFonts w:ascii="Arial" w:hAnsi="Arial" w:cs="Arial"/>
          <w:sz w:val="18"/>
          <w:szCs w:val="18"/>
        </w:rPr>
      </w:pPr>
      <w:r w:rsidRPr="00661A17">
        <w:rPr>
          <w:rFonts w:ascii="Arial" w:hAnsi="Arial" w:cs="Arial"/>
          <w:sz w:val="18"/>
          <w:szCs w:val="18"/>
        </w:rPr>
        <w:t>Informe de Pasivos Contingentes</w:t>
      </w:r>
    </w:p>
    <w:p w14:paraId="5588E57A" w14:textId="77777777" w:rsidR="006F0A08" w:rsidRDefault="006F0A08" w:rsidP="006F0A08">
      <w:pPr>
        <w:spacing w:after="0"/>
        <w:rPr>
          <w:rFonts w:ascii="Arial" w:hAnsi="Arial" w:cs="Arial"/>
          <w:sz w:val="18"/>
          <w:szCs w:val="18"/>
        </w:rPr>
      </w:pPr>
    </w:p>
    <w:p w14:paraId="7FD853AE" w14:textId="77777777" w:rsidR="006F0A08" w:rsidRDefault="006F0A08" w:rsidP="006F0A08">
      <w:pPr>
        <w:spacing w:after="0"/>
        <w:rPr>
          <w:rFonts w:ascii="Arial" w:hAnsi="Arial" w:cs="Arial"/>
          <w:sz w:val="18"/>
          <w:szCs w:val="18"/>
        </w:rPr>
      </w:pPr>
    </w:p>
    <w:p w14:paraId="290F3CAA" w14:textId="77777777" w:rsidR="006F0A08" w:rsidRDefault="006F0A08" w:rsidP="006F0A08">
      <w:pPr>
        <w:spacing w:after="0"/>
        <w:rPr>
          <w:rFonts w:ascii="Arial" w:hAnsi="Arial" w:cs="Arial"/>
          <w:sz w:val="18"/>
          <w:szCs w:val="18"/>
        </w:rPr>
      </w:pPr>
    </w:p>
    <w:p w14:paraId="4AE45B03" w14:textId="02A93283" w:rsidR="006F0A08" w:rsidRDefault="006F0A08" w:rsidP="006F0A08">
      <w:pPr>
        <w:pStyle w:val="Texto"/>
        <w:tabs>
          <w:tab w:val="left" w:pos="284"/>
        </w:tabs>
        <w:spacing w:after="0" w:line="276" w:lineRule="auto"/>
        <w:ind w:left="284" w:firstLine="0"/>
        <w:jc w:val="center"/>
        <w:rPr>
          <w:b/>
          <w:szCs w:val="18"/>
          <w:lang w:val="es-MX"/>
        </w:rPr>
      </w:pPr>
      <w:r>
        <w:rPr>
          <w:szCs w:val="18"/>
        </w:rPr>
        <w:t>Al mes de Junio el Poder Ejecutivo del Estado no cuenta con Pasivos Contingentes</w:t>
      </w:r>
      <w:r w:rsidRPr="00AE47E9">
        <w:rPr>
          <w:szCs w:val="18"/>
        </w:rPr>
        <w:t>.</w:t>
      </w:r>
    </w:p>
    <w:p w14:paraId="35846B97" w14:textId="77777777" w:rsidR="006F0A08" w:rsidRDefault="006F0A08" w:rsidP="00420656">
      <w:pPr>
        <w:pStyle w:val="Texto"/>
        <w:tabs>
          <w:tab w:val="left" w:pos="284"/>
        </w:tabs>
        <w:spacing w:after="0" w:line="276" w:lineRule="auto"/>
        <w:ind w:left="284" w:firstLine="0"/>
        <w:jc w:val="center"/>
        <w:rPr>
          <w:b/>
          <w:szCs w:val="18"/>
          <w:lang w:val="es-MX"/>
        </w:rPr>
      </w:pPr>
    </w:p>
    <w:p w14:paraId="3420501B" w14:textId="77777777" w:rsidR="006F0A08" w:rsidRDefault="006F0A08" w:rsidP="00420656">
      <w:pPr>
        <w:pStyle w:val="Texto"/>
        <w:tabs>
          <w:tab w:val="left" w:pos="284"/>
        </w:tabs>
        <w:spacing w:after="0" w:line="276" w:lineRule="auto"/>
        <w:ind w:left="284" w:firstLine="0"/>
        <w:jc w:val="center"/>
        <w:rPr>
          <w:b/>
          <w:szCs w:val="18"/>
          <w:lang w:val="es-MX"/>
        </w:rPr>
      </w:pPr>
    </w:p>
    <w:p w14:paraId="56ADE3E3" w14:textId="77777777" w:rsidR="006F0A08" w:rsidRDefault="006F0A08" w:rsidP="00420656">
      <w:pPr>
        <w:pStyle w:val="Texto"/>
        <w:tabs>
          <w:tab w:val="left" w:pos="284"/>
        </w:tabs>
        <w:spacing w:after="0" w:line="276" w:lineRule="auto"/>
        <w:ind w:left="284" w:firstLine="0"/>
        <w:jc w:val="center"/>
        <w:rPr>
          <w:b/>
          <w:szCs w:val="18"/>
          <w:lang w:val="es-MX"/>
        </w:rPr>
      </w:pPr>
    </w:p>
    <w:p w14:paraId="680C71A0" w14:textId="77777777" w:rsidR="006F0A08" w:rsidRDefault="006F0A08" w:rsidP="00420656">
      <w:pPr>
        <w:pStyle w:val="Texto"/>
        <w:tabs>
          <w:tab w:val="left" w:pos="284"/>
        </w:tabs>
        <w:spacing w:after="0" w:line="276" w:lineRule="auto"/>
        <w:ind w:left="284" w:firstLine="0"/>
        <w:jc w:val="center"/>
        <w:rPr>
          <w:b/>
          <w:szCs w:val="18"/>
          <w:lang w:val="es-MX"/>
        </w:rPr>
      </w:pPr>
    </w:p>
    <w:p w14:paraId="406FF21F" w14:textId="77777777" w:rsidR="006F0A08" w:rsidRDefault="006F0A08" w:rsidP="00420656">
      <w:pPr>
        <w:pStyle w:val="Texto"/>
        <w:tabs>
          <w:tab w:val="left" w:pos="284"/>
        </w:tabs>
        <w:spacing w:after="0" w:line="276" w:lineRule="auto"/>
        <w:ind w:left="284" w:firstLine="0"/>
        <w:jc w:val="center"/>
        <w:rPr>
          <w:b/>
          <w:szCs w:val="18"/>
          <w:lang w:val="es-MX"/>
        </w:rPr>
      </w:pPr>
    </w:p>
    <w:p w14:paraId="570842C5" w14:textId="77777777" w:rsidR="006F0A08" w:rsidRDefault="006F0A08" w:rsidP="00420656">
      <w:pPr>
        <w:pStyle w:val="Texto"/>
        <w:tabs>
          <w:tab w:val="left" w:pos="284"/>
        </w:tabs>
        <w:spacing w:after="0" w:line="276" w:lineRule="auto"/>
        <w:ind w:left="284" w:firstLine="0"/>
        <w:jc w:val="center"/>
        <w:rPr>
          <w:b/>
          <w:szCs w:val="18"/>
          <w:lang w:val="es-MX"/>
        </w:rPr>
      </w:pPr>
    </w:p>
    <w:p w14:paraId="72F656DB" w14:textId="77777777" w:rsidR="006F0A08" w:rsidRDefault="006F0A08" w:rsidP="00420656">
      <w:pPr>
        <w:pStyle w:val="Texto"/>
        <w:tabs>
          <w:tab w:val="left" w:pos="284"/>
        </w:tabs>
        <w:spacing w:after="0" w:line="276" w:lineRule="auto"/>
        <w:ind w:left="284" w:firstLine="0"/>
        <w:jc w:val="center"/>
        <w:rPr>
          <w:b/>
          <w:szCs w:val="18"/>
          <w:lang w:val="es-MX"/>
        </w:rPr>
      </w:pPr>
    </w:p>
    <w:p w14:paraId="6F6F00D9" w14:textId="77777777" w:rsidR="006F0A08" w:rsidRDefault="006F0A08" w:rsidP="00420656">
      <w:pPr>
        <w:pStyle w:val="Texto"/>
        <w:tabs>
          <w:tab w:val="left" w:pos="284"/>
        </w:tabs>
        <w:spacing w:after="0" w:line="276" w:lineRule="auto"/>
        <w:ind w:left="284" w:firstLine="0"/>
        <w:jc w:val="center"/>
        <w:rPr>
          <w:b/>
          <w:szCs w:val="18"/>
          <w:lang w:val="es-MX"/>
        </w:rPr>
      </w:pPr>
    </w:p>
    <w:p w14:paraId="10807740" w14:textId="77777777" w:rsidR="006F0A08" w:rsidRDefault="006F0A08" w:rsidP="00420656">
      <w:pPr>
        <w:pStyle w:val="Texto"/>
        <w:tabs>
          <w:tab w:val="left" w:pos="284"/>
        </w:tabs>
        <w:spacing w:after="0" w:line="276" w:lineRule="auto"/>
        <w:ind w:left="284" w:firstLine="0"/>
        <w:jc w:val="center"/>
        <w:rPr>
          <w:b/>
          <w:szCs w:val="18"/>
          <w:lang w:val="es-MX"/>
        </w:rPr>
      </w:pPr>
    </w:p>
    <w:p w14:paraId="2B6B93D0" w14:textId="77777777" w:rsidR="006F0A08" w:rsidRDefault="006F0A08" w:rsidP="00420656">
      <w:pPr>
        <w:pStyle w:val="Texto"/>
        <w:tabs>
          <w:tab w:val="left" w:pos="284"/>
        </w:tabs>
        <w:spacing w:after="0" w:line="276" w:lineRule="auto"/>
        <w:ind w:left="284" w:firstLine="0"/>
        <w:jc w:val="center"/>
        <w:rPr>
          <w:b/>
          <w:szCs w:val="18"/>
          <w:lang w:val="es-MX"/>
        </w:rPr>
      </w:pPr>
    </w:p>
    <w:p w14:paraId="591269ED" w14:textId="77777777" w:rsidR="006F0A08" w:rsidRDefault="006F0A08" w:rsidP="00420656">
      <w:pPr>
        <w:pStyle w:val="Texto"/>
        <w:tabs>
          <w:tab w:val="left" w:pos="284"/>
        </w:tabs>
        <w:spacing w:after="0" w:line="276" w:lineRule="auto"/>
        <w:ind w:left="284" w:firstLine="0"/>
        <w:jc w:val="center"/>
        <w:rPr>
          <w:b/>
          <w:szCs w:val="18"/>
          <w:lang w:val="es-MX"/>
        </w:rPr>
      </w:pPr>
    </w:p>
    <w:p w14:paraId="3276A15C" w14:textId="77777777" w:rsidR="006F0A08" w:rsidRDefault="006F0A08" w:rsidP="00420656">
      <w:pPr>
        <w:pStyle w:val="Texto"/>
        <w:tabs>
          <w:tab w:val="left" w:pos="284"/>
        </w:tabs>
        <w:spacing w:after="0" w:line="276" w:lineRule="auto"/>
        <w:ind w:left="284" w:firstLine="0"/>
        <w:jc w:val="center"/>
        <w:rPr>
          <w:b/>
          <w:szCs w:val="18"/>
          <w:lang w:val="es-MX"/>
        </w:rPr>
      </w:pPr>
    </w:p>
    <w:p w14:paraId="0C190E5B" w14:textId="77777777" w:rsidR="006F0A08" w:rsidRDefault="006F0A08" w:rsidP="00420656">
      <w:pPr>
        <w:pStyle w:val="Texto"/>
        <w:tabs>
          <w:tab w:val="left" w:pos="284"/>
        </w:tabs>
        <w:spacing w:after="0" w:line="276" w:lineRule="auto"/>
        <w:ind w:left="284" w:firstLine="0"/>
        <w:jc w:val="center"/>
        <w:rPr>
          <w:b/>
          <w:szCs w:val="18"/>
          <w:lang w:val="es-MX"/>
        </w:rPr>
      </w:pPr>
    </w:p>
    <w:p w14:paraId="38487AEC" w14:textId="77777777" w:rsidR="006F0A08" w:rsidRDefault="006F0A08" w:rsidP="00420656">
      <w:pPr>
        <w:pStyle w:val="Texto"/>
        <w:tabs>
          <w:tab w:val="left" w:pos="284"/>
        </w:tabs>
        <w:spacing w:after="0" w:line="276" w:lineRule="auto"/>
        <w:ind w:left="284" w:firstLine="0"/>
        <w:jc w:val="center"/>
        <w:rPr>
          <w:b/>
          <w:szCs w:val="18"/>
          <w:lang w:val="es-MX"/>
        </w:rPr>
      </w:pPr>
    </w:p>
    <w:p w14:paraId="4FA07C9C" w14:textId="77777777" w:rsidR="006F0A08" w:rsidRDefault="006F0A08" w:rsidP="00420656">
      <w:pPr>
        <w:pStyle w:val="Texto"/>
        <w:tabs>
          <w:tab w:val="left" w:pos="284"/>
        </w:tabs>
        <w:spacing w:after="0" w:line="276" w:lineRule="auto"/>
        <w:ind w:left="284" w:firstLine="0"/>
        <w:jc w:val="center"/>
        <w:rPr>
          <w:b/>
          <w:szCs w:val="18"/>
          <w:lang w:val="es-MX"/>
        </w:rPr>
      </w:pPr>
    </w:p>
    <w:p w14:paraId="5AD95472" w14:textId="77777777" w:rsidR="006F0A08" w:rsidRDefault="006F0A08" w:rsidP="00420656">
      <w:pPr>
        <w:pStyle w:val="Texto"/>
        <w:tabs>
          <w:tab w:val="left" w:pos="284"/>
        </w:tabs>
        <w:spacing w:after="0" w:line="276" w:lineRule="auto"/>
        <w:ind w:left="284" w:firstLine="0"/>
        <w:jc w:val="center"/>
        <w:rPr>
          <w:b/>
          <w:szCs w:val="18"/>
          <w:lang w:val="es-MX"/>
        </w:rPr>
      </w:pPr>
    </w:p>
    <w:p w14:paraId="5E898935" w14:textId="77777777" w:rsidR="006F0A08" w:rsidRDefault="006F0A08" w:rsidP="00420656">
      <w:pPr>
        <w:pStyle w:val="Texto"/>
        <w:tabs>
          <w:tab w:val="left" w:pos="284"/>
        </w:tabs>
        <w:spacing w:after="0" w:line="276" w:lineRule="auto"/>
        <w:ind w:left="284" w:firstLine="0"/>
        <w:jc w:val="center"/>
        <w:rPr>
          <w:b/>
          <w:szCs w:val="18"/>
          <w:lang w:val="es-MX"/>
        </w:rPr>
      </w:pPr>
    </w:p>
    <w:p w14:paraId="5D619064" w14:textId="77777777" w:rsidR="006F0A08" w:rsidRDefault="006F0A08" w:rsidP="00420656">
      <w:pPr>
        <w:pStyle w:val="Texto"/>
        <w:tabs>
          <w:tab w:val="left" w:pos="284"/>
        </w:tabs>
        <w:spacing w:after="0" w:line="276" w:lineRule="auto"/>
        <w:ind w:left="284" w:firstLine="0"/>
        <w:jc w:val="center"/>
        <w:rPr>
          <w:b/>
          <w:szCs w:val="18"/>
          <w:lang w:val="es-MX"/>
        </w:rPr>
      </w:pPr>
    </w:p>
    <w:p w14:paraId="02ED39E1" w14:textId="77777777" w:rsidR="006F0A08" w:rsidRDefault="006F0A08" w:rsidP="00420656">
      <w:pPr>
        <w:pStyle w:val="Texto"/>
        <w:tabs>
          <w:tab w:val="left" w:pos="284"/>
        </w:tabs>
        <w:spacing w:after="0" w:line="276" w:lineRule="auto"/>
        <w:ind w:left="284" w:firstLine="0"/>
        <w:jc w:val="center"/>
        <w:rPr>
          <w:b/>
          <w:szCs w:val="18"/>
          <w:lang w:val="es-MX"/>
        </w:rPr>
      </w:pPr>
    </w:p>
    <w:p w14:paraId="61D20F47" w14:textId="77777777" w:rsidR="006F0A08" w:rsidRDefault="006F0A08" w:rsidP="00420656">
      <w:pPr>
        <w:pStyle w:val="Texto"/>
        <w:tabs>
          <w:tab w:val="left" w:pos="284"/>
        </w:tabs>
        <w:spacing w:after="0" w:line="276" w:lineRule="auto"/>
        <w:ind w:left="284" w:firstLine="0"/>
        <w:jc w:val="center"/>
        <w:rPr>
          <w:b/>
          <w:szCs w:val="18"/>
          <w:lang w:val="es-MX"/>
        </w:rPr>
      </w:pPr>
    </w:p>
    <w:p w14:paraId="52A10CE2" w14:textId="77777777" w:rsidR="006F0A08" w:rsidRDefault="006F0A08" w:rsidP="00420656">
      <w:pPr>
        <w:pStyle w:val="Texto"/>
        <w:tabs>
          <w:tab w:val="left" w:pos="284"/>
        </w:tabs>
        <w:spacing w:after="0" w:line="276" w:lineRule="auto"/>
        <w:ind w:left="284" w:firstLine="0"/>
        <w:jc w:val="center"/>
        <w:rPr>
          <w:b/>
          <w:szCs w:val="18"/>
          <w:lang w:val="es-MX"/>
        </w:rPr>
      </w:pPr>
    </w:p>
    <w:p w14:paraId="07780EC6" w14:textId="77777777" w:rsidR="006F0A08" w:rsidRDefault="006F0A08" w:rsidP="00420656">
      <w:pPr>
        <w:pStyle w:val="Texto"/>
        <w:tabs>
          <w:tab w:val="left" w:pos="284"/>
        </w:tabs>
        <w:spacing w:after="0" w:line="276" w:lineRule="auto"/>
        <w:ind w:left="284" w:firstLine="0"/>
        <w:jc w:val="center"/>
        <w:rPr>
          <w:b/>
          <w:szCs w:val="18"/>
          <w:lang w:val="es-MX"/>
        </w:rPr>
      </w:pPr>
    </w:p>
    <w:p w14:paraId="23DB7F26" w14:textId="77777777" w:rsidR="006F0A08" w:rsidRDefault="006F0A08" w:rsidP="00420656">
      <w:pPr>
        <w:pStyle w:val="Texto"/>
        <w:tabs>
          <w:tab w:val="left" w:pos="284"/>
        </w:tabs>
        <w:spacing w:after="0" w:line="276" w:lineRule="auto"/>
        <w:ind w:left="284" w:firstLine="0"/>
        <w:jc w:val="center"/>
        <w:rPr>
          <w:b/>
          <w:szCs w:val="18"/>
          <w:lang w:val="es-MX"/>
        </w:rPr>
      </w:pPr>
    </w:p>
    <w:p w14:paraId="36A997A4" w14:textId="77777777" w:rsidR="006F0A08" w:rsidRDefault="006F0A08" w:rsidP="00420656">
      <w:pPr>
        <w:pStyle w:val="Texto"/>
        <w:tabs>
          <w:tab w:val="left" w:pos="284"/>
        </w:tabs>
        <w:spacing w:after="0" w:line="276" w:lineRule="auto"/>
        <w:ind w:left="284" w:firstLine="0"/>
        <w:jc w:val="center"/>
        <w:rPr>
          <w:b/>
          <w:szCs w:val="18"/>
          <w:lang w:val="es-MX"/>
        </w:rPr>
      </w:pPr>
    </w:p>
    <w:p w14:paraId="232B4952" w14:textId="77777777" w:rsidR="006F0A08" w:rsidRDefault="006F0A08" w:rsidP="00420656">
      <w:pPr>
        <w:pStyle w:val="Texto"/>
        <w:tabs>
          <w:tab w:val="left" w:pos="284"/>
        </w:tabs>
        <w:spacing w:after="0" w:line="276" w:lineRule="auto"/>
        <w:ind w:left="284" w:firstLine="0"/>
        <w:jc w:val="center"/>
        <w:rPr>
          <w:b/>
          <w:szCs w:val="18"/>
          <w:lang w:val="es-MX"/>
        </w:rPr>
      </w:pPr>
    </w:p>
    <w:p w14:paraId="4EA880FE" w14:textId="77777777" w:rsidR="006F0A08" w:rsidRDefault="006F0A08" w:rsidP="00420656">
      <w:pPr>
        <w:pStyle w:val="Texto"/>
        <w:tabs>
          <w:tab w:val="left" w:pos="284"/>
        </w:tabs>
        <w:spacing w:after="0" w:line="276" w:lineRule="auto"/>
        <w:ind w:left="284" w:firstLine="0"/>
        <w:jc w:val="center"/>
        <w:rPr>
          <w:b/>
          <w:szCs w:val="18"/>
          <w:lang w:val="es-MX"/>
        </w:rPr>
      </w:pPr>
    </w:p>
    <w:p w14:paraId="31695E93" w14:textId="77777777" w:rsidR="006F0A08" w:rsidRDefault="006F0A08" w:rsidP="00420656">
      <w:pPr>
        <w:pStyle w:val="Texto"/>
        <w:tabs>
          <w:tab w:val="left" w:pos="284"/>
        </w:tabs>
        <w:spacing w:after="0" w:line="276" w:lineRule="auto"/>
        <w:ind w:left="284" w:firstLine="0"/>
        <w:jc w:val="center"/>
        <w:rPr>
          <w:b/>
          <w:szCs w:val="18"/>
          <w:lang w:val="es-MX"/>
        </w:rPr>
      </w:pPr>
    </w:p>
    <w:p w14:paraId="325E0020" w14:textId="77777777" w:rsidR="006F0A08" w:rsidRDefault="006F0A08" w:rsidP="00420656">
      <w:pPr>
        <w:pStyle w:val="Texto"/>
        <w:tabs>
          <w:tab w:val="left" w:pos="284"/>
        </w:tabs>
        <w:spacing w:after="0" w:line="276" w:lineRule="auto"/>
        <w:ind w:left="284" w:firstLine="0"/>
        <w:jc w:val="center"/>
        <w:rPr>
          <w:b/>
          <w:szCs w:val="18"/>
          <w:lang w:val="es-MX"/>
        </w:rPr>
      </w:pPr>
    </w:p>
    <w:p w14:paraId="5B37937B" w14:textId="77777777" w:rsidR="006F0A08" w:rsidRDefault="006F0A08" w:rsidP="00420656">
      <w:pPr>
        <w:pStyle w:val="Texto"/>
        <w:tabs>
          <w:tab w:val="left" w:pos="284"/>
        </w:tabs>
        <w:spacing w:after="0" w:line="276" w:lineRule="auto"/>
        <w:ind w:left="284" w:firstLine="0"/>
        <w:jc w:val="center"/>
        <w:rPr>
          <w:b/>
          <w:szCs w:val="18"/>
          <w:lang w:val="es-MX"/>
        </w:rPr>
      </w:pPr>
    </w:p>
    <w:p w14:paraId="7E21B6F0" w14:textId="77777777" w:rsidR="006F0A08" w:rsidRDefault="006F0A08" w:rsidP="00420656">
      <w:pPr>
        <w:pStyle w:val="Texto"/>
        <w:tabs>
          <w:tab w:val="left" w:pos="284"/>
        </w:tabs>
        <w:spacing w:after="0" w:line="276" w:lineRule="auto"/>
        <w:ind w:left="284" w:firstLine="0"/>
        <w:jc w:val="center"/>
        <w:rPr>
          <w:b/>
          <w:szCs w:val="18"/>
          <w:lang w:val="es-MX"/>
        </w:rPr>
      </w:pPr>
    </w:p>
    <w:p w14:paraId="6E740C8C" w14:textId="77777777" w:rsidR="006F0A08" w:rsidRDefault="006F0A08" w:rsidP="00420656">
      <w:pPr>
        <w:pStyle w:val="Texto"/>
        <w:tabs>
          <w:tab w:val="left" w:pos="284"/>
        </w:tabs>
        <w:spacing w:after="0" w:line="276" w:lineRule="auto"/>
        <w:ind w:left="284" w:firstLine="0"/>
        <w:jc w:val="center"/>
        <w:rPr>
          <w:b/>
          <w:szCs w:val="18"/>
          <w:lang w:val="es-MX"/>
        </w:rPr>
      </w:pPr>
    </w:p>
    <w:p w14:paraId="75123E55" w14:textId="77777777" w:rsidR="006F0A08" w:rsidRDefault="006F0A08" w:rsidP="00420656">
      <w:pPr>
        <w:pStyle w:val="Texto"/>
        <w:tabs>
          <w:tab w:val="left" w:pos="284"/>
        </w:tabs>
        <w:spacing w:after="0" w:line="276" w:lineRule="auto"/>
        <w:ind w:left="284" w:firstLine="0"/>
        <w:jc w:val="center"/>
        <w:rPr>
          <w:b/>
          <w:szCs w:val="18"/>
          <w:lang w:val="es-MX"/>
        </w:rPr>
      </w:pPr>
    </w:p>
    <w:p w14:paraId="57EE3D3C" w14:textId="77777777" w:rsidR="006F0A08" w:rsidRDefault="006F0A08" w:rsidP="00420656">
      <w:pPr>
        <w:pStyle w:val="Texto"/>
        <w:tabs>
          <w:tab w:val="left" w:pos="284"/>
        </w:tabs>
        <w:spacing w:after="0" w:line="276" w:lineRule="auto"/>
        <w:ind w:left="284" w:firstLine="0"/>
        <w:jc w:val="center"/>
        <w:rPr>
          <w:b/>
          <w:szCs w:val="18"/>
          <w:lang w:val="es-MX"/>
        </w:rPr>
      </w:pPr>
    </w:p>
    <w:p w14:paraId="69B01876" w14:textId="77777777" w:rsidR="006F0A08" w:rsidRDefault="006F0A08" w:rsidP="00420656">
      <w:pPr>
        <w:pStyle w:val="Texto"/>
        <w:tabs>
          <w:tab w:val="left" w:pos="284"/>
        </w:tabs>
        <w:spacing w:after="0" w:line="276" w:lineRule="auto"/>
        <w:ind w:left="284" w:firstLine="0"/>
        <w:jc w:val="center"/>
        <w:rPr>
          <w:b/>
          <w:szCs w:val="18"/>
          <w:lang w:val="es-MX"/>
        </w:rPr>
      </w:pPr>
    </w:p>
    <w:p w14:paraId="23A755C3" w14:textId="77777777" w:rsidR="006F0A08" w:rsidRDefault="006F0A08" w:rsidP="00420656">
      <w:pPr>
        <w:pStyle w:val="Texto"/>
        <w:tabs>
          <w:tab w:val="left" w:pos="284"/>
        </w:tabs>
        <w:spacing w:after="0" w:line="276" w:lineRule="auto"/>
        <w:ind w:left="284" w:firstLine="0"/>
        <w:jc w:val="center"/>
        <w:rPr>
          <w:b/>
          <w:szCs w:val="18"/>
          <w:lang w:val="es-MX"/>
        </w:rPr>
      </w:pPr>
    </w:p>
    <w:p w14:paraId="6591ED15" w14:textId="77777777" w:rsidR="006F0A08" w:rsidRDefault="006F0A08" w:rsidP="00420656">
      <w:pPr>
        <w:pStyle w:val="Texto"/>
        <w:tabs>
          <w:tab w:val="left" w:pos="284"/>
        </w:tabs>
        <w:spacing w:after="0" w:line="276" w:lineRule="auto"/>
        <w:ind w:left="284" w:firstLine="0"/>
        <w:jc w:val="center"/>
        <w:rPr>
          <w:b/>
          <w:szCs w:val="18"/>
          <w:lang w:val="es-MX"/>
        </w:rPr>
      </w:pPr>
    </w:p>
    <w:p w14:paraId="2A413744" w14:textId="77777777" w:rsidR="006F0A08" w:rsidRDefault="006F0A08" w:rsidP="00420656">
      <w:pPr>
        <w:pStyle w:val="Texto"/>
        <w:tabs>
          <w:tab w:val="left" w:pos="284"/>
        </w:tabs>
        <w:spacing w:after="0" w:line="276" w:lineRule="auto"/>
        <w:ind w:left="284" w:firstLine="0"/>
        <w:jc w:val="center"/>
        <w:rPr>
          <w:b/>
          <w:szCs w:val="18"/>
          <w:lang w:val="es-MX"/>
        </w:rPr>
      </w:pPr>
    </w:p>
    <w:p w14:paraId="22F1F01D" w14:textId="77777777" w:rsidR="006F0A08" w:rsidRDefault="006F0A08" w:rsidP="00420656">
      <w:pPr>
        <w:pStyle w:val="Texto"/>
        <w:tabs>
          <w:tab w:val="left" w:pos="284"/>
        </w:tabs>
        <w:spacing w:after="0" w:line="276" w:lineRule="auto"/>
        <w:ind w:left="284" w:firstLine="0"/>
        <w:jc w:val="center"/>
        <w:rPr>
          <w:b/>
          <w:szCs w:val="18"/>
          <w:lang w:val="es-MX"/>
        </w:rPr>
      </w:pPr>
    </w:p>
    <w:p w14:paraId="36955C28" w14:textId="77777777" w:rsidR="006F0A08" w:rsidRDefault="006F0A08" w:rsidP="00420656">
      <w:pPr>
        <w:pStyle w:val="Texto"/>
        <w:tabs>
          <w:tab w:val="left" w:pos="284"/>
        </w:tabs>
        <w:spacing w:after="0" w:line="276" w:lineRule="auto"/>
        <w:ind w:left="284" w:firstLine="0"/>
        <w:jc w:val="center"/>
        <w:rPr>
          <w:b/>
          <w:szCs w:val="18"/>
          <w:lang w:val="es-MX"/>
        </w:rPr>
      </w:pPr>
    </w:p>
    <w:p w14:paraId="1AFD3949" w14:textId="77777777" w:rsidR="006F0A08" w:rsidRDefault="006F0A08" w:rsidP="00420656">
      <w:pPr>
        <w:pStyle w:val="Texto"/>
        <w:tabs>
          <w:tab w:val="left" w:pos="284"/>
        </w:tabs>
        <w:spacing w:after="0" w:line="276" w:lineRule="auto"/>
        <w:ind w:left="284" w:firstLine="0"/>
        <w:jc w:val="center"/>
        <w:rPr>
          <w:b/>
          <w:szCs w:val="18"/>
          <w:lang w:val="es-MX"/>
        </w:rPr>
      </w:pPr>
    </w:p>
    <w:p w14:paraId="7F8B5552" w14:textId="77777777" w:rsidR="006F0A08" w:rsidRDefault="006F0A08" w:rsidP="00420656">
      <w:pPr>
        <w:pStyle w:val="Texto"/>
        <w:tabs>
          <w:tab w:val="left" w:pos="284"/>
        </w:tabs>
        <w:spacing w:after="0" w:line="276" w:lineRule="auto"/>
        <w:ind w:left="284" w:firstLine="0"/>
        <w:jc w:val="center"/>
        <w:rPr>
          <w:b/>
          <w:szCs w:val="18"/>
          <w:lang w:val="es-MX"/>
        </w:rPr>
      </w:pPr>
    </w:p>
    <w:p w14:paraId="1F5526A6" w14:textId="77777777" w:rsidR="006F0A08" w:rsidRDefault="006F0A08" w:rsidP="00420656">
      <w:pPr>
        <w:pStyle w:val="Texto"/>
        <w:tabs>
          <w:tab w:val="left" w:pos="284"/>
        </w:tabs>
        <w:spacing w:after="0" w:line="276" w:lineRule="auto"/>
        <w:ind w:left="284" w:firstLine="0"/>
        <w:jc w:val="center"/>
        <w:rPr>
          <w:b/>
          <w:szCs w:val="18"/>
          <w:lang w:val="es-MX"/>
        </w:rPr>
      </w:pPr>
    </w:p>
    <w:p w14:paraId="20B86B86" w14:textId="77777777" w:rsidR="006F0A08" w:rsidRDefault="006F0A08" w:rsidP="00420656">
      <w:pPr>
        <w:pStyle w:val="Texto"/>
        <w:tabs>
          <w:tab w:val="left" w:pos="284"/>
        </w:tabs>
        <w:spacing w:after="0" w:line="276" w:lineRule="auto"/>
        <w:ind w:left="284" w:firstLine="0"/>
        <w:jc w:val="center"/>
        <w:rPr>
          <w:b/>
          <w:szCs w:val="18"/>
          <w:lang w:val="es-MX"/>
        </w:rPr>
      </w:pPr>
    </w:p>
    <w:p w14:paraId="5E01B684" w14:textId="77777777" w:rsidR="006F0A08" w:rsidRDefault="006F0A08" w:rsidP="00420656">
      <w:pPr>
        <w:pStyle w:val="Texto"/>
        <w:tabs>
          <w:tab w:val="left" w:pos="284"/>
        </w:tabs>
        <w:spacing w:after="0" w:line="276" w:lineRule="auto"/>
        <w:ind w:left="284" w:firstLine="0"/>
        <w:jc w:val="center"/>
        <w:rPr>
          <w:b/>
          <w:szCs w:val="18"/>
          <w:lang w:val="es-MX"/>
        </w:rPr>
      </w:pPr>
    </w:p>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0EA708D" w14:textId="77777777" w:rsidR="004D47D0" w:rsidRDefault="004D47D0" w:rsidP="00420656">
      <w:pPr>
        <w:tabs>
          <w:tab w:val="left" w:pos="284"/>
        </w:tabs>
        <w:ind w:left="284"/>
        <w:jc w:val="both"/>
        <w:rPr>
          <w:rFonts w:ascii="Arial" w:hAnsi="Arial" w:cs="Arial"/>
          <w:sz w:val="18"/>
          <w:szCs w:val="18"/>
        </w:rPr>
      </w:pPr>
    </w:p>
    <w:p w14:paraId="7CECA6DD" w14:textId="77777777" w:rsidR="004D47D0" w:rsidRDefault="004D47D0" w:rsidP="00420656">
      <w:pPr>
        <w:tabs>
          <w:tab w:val="left" w:pos="284"/>
        </w:tabs>
        <w:ind w:left="284"/>
        <w:jc w:val="both"/>
        <w:rPr>
          <w:rFonts w:ascii="Arial" w:hAnsi="Arial" w:cs="Arial"/>
          <w:sz w:val="18"/>
          <w:szCs w:val="18"/>
        </w:rPr>
      </w:pP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11C0B9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primer trimestre de 2024 el ritmo de la actividad económica global continuó creciendo respecto al último trimestre de 2023. Este dinamismo provino principalmente del desempeño observado en Estados Unidos (EE.UU.), China y la zona euro, ello a pesar de la persistencia de condiciones financieras restrictivas, así como el endurecimiento de algunos choques de oferta asociados a los conflictos en Medio Oriente y el Mar Rojo. Cabe destacar que el ritmo de crecimiento fue divergente entre las principales economías del mundo. </w:t>
      </w:r>
    </w:p>
    <w:p w14:paraId="5DA444F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Producto Interno Bruto (PIB) de EE.UU. registró un crecimiento trimestral de 0.4% real, apoyado por la solidez de su demanda interna y la fortaleza del empleo. Este incremento fue superior al esperado por el consenso a inicios del año, aunque menor respecto al trimestre previo debido a una contribución negativa en la acumulación de inventarios y exportaciones netas. En China, el crecimiento de la actividad económica se aceleró a una tasa trimestral de 1.6% real durante el primer trimestre de 2024, como resultado de un mayor crecimiento proveniente de la inversión pública, las exportaciones netas y la producción de manufacturas. Sin embargo, la actividad continuó limitada por el desempeño del sector inmobiliario y la ralentización del consumo privado, a pesar de los apoyos fiscales y relajación de las condiciones financieras por parte de las autoridades de ese país. </w:t>
      </w:r>
    </w:p>
    <w:p w14:paraId="6DF4704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la zona euro se prevé un moderado ritmo de crecimiento de la actividad económica en el primer trimestre del año, tras un nulo crecimiento en la segunda mitad de 2023. Si bien, a medida que se han reducido las presiones inflacionarias, el consumo privado de servicios se ha visto favorecido. No obstante, el efecto rezagado del aumento en los precios de los energéticos y las condiciones financieras restrictivas han restado dinamismo a la economía, destacando el caso de Alemania. Respecto a la inflación, las tasas observadas mantuvieron su trayectoria descendente, aunque continuaron por encima de los objetivos de los bancos centrales. Las disminuciones fueron más graduales debido a la persistencia en los precios del sector servicios, en particular las rentas de vivienda. </w:t>
      </w:r>
    </w:p>
    <w:p w14:paraId="7DB4FEA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caso de EE.UU., se observaron repuntes en la inflación durante el primer trimestre del año, asociados a los incrementos en los precios de las gasolinas, así como de los servicios de reparación y seguros de autos. Lo anterior provocó un ligero aumento en las expectativas de inflación de mediano plazo, aunque las de corto plazo se mantuvieron estables.</w:t>
      </w:r>
    </w:p>
    <w:p w14:paraId="14C2E2E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este contexto, la Reserva Federal (FED) y el Banco Central Europeo (BCE) decidieron mantener sin cambios sus tasas de política monetaria durante el primer trimestre del año; a diferencia del Banco Popular de China, que recortó su tasa de política a 5 años en 25 puntos base (pb) de 4.20 a 3.95% para estimular la demanda de crédito al tiempo que mantuvo la tasa a un año sin cambios en 3.45%. Por su parte, las expectativas de mercado para el primer recorte de la tasa de política monetaria en EE.UU. se aplazaron hacia la segunda mitad de 2024, ante la </w:t>
      </w:r>
      <w:r w:rsidRPr="001C219E">
        <w:rPr>
          <w:rFonts w:ascii="Arial" w:hAnsi="Arial" w:cs="Arial"/>
          <w:sz w:val="18"/>
          <w:szCs w:val="18"/>
        </w:rPr>
        <w:lastRenderedPageBreak/>
        <w:t xml:space="preserve">persistencia de las presiones inflacionarias y la mayor fortaleza económica de ese país en comparación con lo previsto. </w:t>
      </w:r>
    </w:p>
    <w:p w14:paraId="3154343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lo anterior, las condiciones financieras mostraron un comportamiento restrictivo en el primer trimestre de 2024, aunque más favorable respecto a lo registrado en el último trimestre de 2023. El promedio de la tasa de 10 años de los bonos del Tesoro cerró en 4.15%, 29 pb por abajo del promedio observado al cierre del trimestre previo, aunque estos niveles se ubicaron por debajo del pico alcanzado en octubre de 2023 cercano al 5.0%. Mientras tanto, el dólar estadounidense se apreció 3.1% durante el mismo periodo, al tiempo que las monedas de economías emergentes mostraron una depreciación de 0.9%. No obstante, el riesgo país de economías emergentes (EMBI+) disminuyó 51 pb durante el periodo referido. </w:t>
      </w:r>
    </w:p>
    <w:p w14:paraId="4D62F58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este contexto, durante el primer trimestre del año la actividad económica en México presentó resultados positivos. Por un lado, se registró un comportamiento favorable en la inversión, tal que alcanzó niveles históricos. Mientras tanto, el mercado laboral continuó generando nuevos empleos y niveles bajos de desocupación que se reflejaron en una tasa de desempleo en el menor nivel del que se tiene registro comparable. Por otro lado, continuaron entrado divisas por concepto de exportaciones y México siguió siendo el principal socio comercial de EE.UU. A la par, durante el trimestre, el flujo de remesas alcanzó niveles altos y el crecimiento del turismo internacional benefició a sectores y regiones relacionadas. </w:t>
      </w:r>
    </w:p>
    <w:p w14:paraId="613022A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Así, de acuerdo con la estimación oportuna del PIB, en el primer trimestre de 2024 la economía mostró una tasa de crecimiento anual de 1.6%, por el aumento de todos los sectores; en particular, el sector servicios creció 2.2%, el industrial en 0.8% y el agropecuario en 0.6%. Con cifras ajustadas por estacionalidad, la actividad económica aumentó 0.2% con respecto al trimestre anterior, con lo que acumuló diez trimestres de alza continua. Lo anterior derivado del incremento del sector servicios en 0.7% trimestral, lo que contrarrestó la caída del sector industrial y el agropecuario de 0.4 y 1.1%, respectivamente. </w:t>
      </w:r>
    </w:p>
    <w:p w14:paraId="2AC5497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Con relación a la demanda interna, en enero de 2024 el consumo privado retrocedió 0.6% mensual, aunque rubros como el de consumo de bienes importados y de servicios se incrementaron. Entre enero y marzo de 2024, el consumo en tiendas de autoservicios y departamentales se mantuvo sin cambios respecto al trimestre previo, con cifras ajustadas por estacionalidad. Por otra parte, destacó un incremento trimestral de 0.3% en las ventas de automóviles nuevos, consistente con un mayor poder adquisitivo de los consumidores y con una mayor oferta de unidades en el mercado, en el contexto de la normalización de las cadenas de valor a nivel global. </w:t>
      </w:r>
    </w:p>
    <w:p w14:paraId="3FF0158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materia de empleo, se observó un incremento de la población ocupada de 470 mil trabajadores en el promedio del primer trimestre de 2024 respecto el cuarto trimestre de 2023, de acuerdo con la Encuesta Nacional de Ocupación y Empleo (ENOE). De este aumento más del 80% correspondió a empleos del sector formal. Además, con información del Instituto Mexicano del Seguro Social (IMSS), se registró la afiliación de 265 mil nuevas plazas de trabajo, de las cuales más del 60% correspondieron a plazas permanentes, mayormente en el sector manufacturero. </w:t>
      </w:r>
    </w:p>
    <w:p w14:paraId="533F13A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 nivel regional, las entidades donde se presentaron los mayores aumentos en el número de plazas registradas ante el IMSS fueron el Estado de México, Nuevo León, la Ciudad de México y Jalisco. Por su parte, los salarios reales promedio del IMSS mantuvieron un ritmo positivo de crecimiento, al registrar un aumento de 5.3% respecto al primer trimestre de 2023. Al interior, se observaron alzas notables en los sectores agropecuario, de la construcción y manufacturero. </w:t>
      </w:r>
    </w:p>
    <w:p w14:paraId="35E2B19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Además, con base en la información de la ENOE, los ingresos laborales se incrementaron, en promedio, 7.0% anual en términos reales. En materia de precios, la inflación general continuó con una trayectoria decreciente observada desde finales de 2022 —si bien en el primer trimestre de 2024 se observó un ligero incremento respecto al trimestre previo derivado del comportamiento del componente no subyacente—. De esta manera, entre enero y marzo de 2024 la inflación promedio se ubicó en 4.6% anual, 0.2 puntos porcentuales (</w:t>
      </w:r>
      <w:proofErr w:type="spellStart"/>
      <w:r w:rsidRPr="001C219E">
        <w:rPr>
          <w:rFonts w:ascii="Arial" w:hAnsi="Arial" w:cs="Arial"/>
          <w:sz w:val="18"/>
          <w:szCs w:val="18"/>
        </w:rPr>
        <w:t>pp</w:t>
      </w:r>
      <w:proofErr w:type="spellEnd"/>
      <w:r w:rsidRPr="001C219E">
        <w:rPr>
          <w:rFonts w:ascii="Arial" w:hAnsi="Arial" w:cs="Arial"/>
          <w:sz w:val="18"/>
          <w:szCs w:val="18"/>
        </w:rPr>
        <w:t xml:space="preserve">) superior a lo registrado en el trimestre previo. </w:t>
      </w:r>
    </w:p>
    <w:p w14:paraId="6BA75E6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Cabe destacar que el componente subyacente, que excluye los factores estacionales y refleja la tendencia futura de la inflación, fue inferior en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al promedio observado en el cuarto trimestre de 2023. Los principales bienes que influyeron en el desempeño al alza del componente no subyacente fueron los energéticos, así como las frutas y verduras por las condiciones climatológicas desafiantes a nivel nacional, las alzas de precios internacionales y una menor base de comparación de periodos previos. </w:t>
      </w:r>
    </w:p>
    <w:p w14:paraId="38F1AA9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En el sector externo destacó el aumento en el valor de las importaciones de mercancías en el primer trimestre del año, en un entorno de apreciación cambiaria del peso en relación con el dólar estadounidense y otras monedas de países emergentes, así como la solidez del mercado interno. El valor de las exportaciones de mercancías también se incrementó, aunque moderadamente, como consecuencia de la mayor demanda por algunos productos manufactureros al cierre del trimestre. De esta manera, la balanza comercial presentó un déficit de 3 mil 762 millones de dólares, con cifras ajustadas por estacionalidad. </w:t>
      </w:r>
    </w:p>
    <w:p w14:paraId="18BC067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Durante el primer bimestre del año los ingresos por remesas acumularon un flujo histórico de 10 mil 535 millones de dólares, con datos ajustados por estacionalidad. A la par, el sector turístico continuó mostrando un comportamiento favorable derivado de mayores ingresos por turismo nacional y la mayor entrada de viajeros internacionales.</w:t>
      </w:r>
    </w:p>
    <w:p w14:paraId="39352D9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otra parte, el crédito vigente al sector privado no financiero por parte de la banca comercial registró un crecimiento real de 0.5% de diciembre de 2023 al cierre de febrero de 2024, con cifras ajustadas por estacionalidad. Al interior, el crédito vigente a las empresas reportó una disminución de 1.7% real, mientras que el crédito al consumo y el crédito a la vivienda aumentaron en 0.9 y 0.4%, respectivamente. Los últimos datos de febrero muestran que la banca mantuvo niveles elevados de capitalización y bajos índices de morosidad. </w:t>
      </w:r>
    </w:p>
    <w:p w14:paraId="0868BAB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Índice de Capitalización (ICAP) de la banca comercial alcanzó un nivel de 19.6%, por encima de los estándares internacionales de Basilea III (10.5%). Por su parte, el Índice de Morosidad (IMOR) se mantuvo en 2.1%, por debajo del promedio observado en los últimos 17 años y periodos de estrés previos como 2008- 2009. El tipo de cambio cerró el trimestre en 16.6 pesos por dólar estadounidense, lo que implicó una apreciación de 2.5% respecto al cierre del trimestre previo y 2.2% en términos reales. </w:t>
      </w:r>
    </w:p>
    <w:p w14:paraId="3A6A78F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Asimismo, en el mismo periodo, el promedio de rendimientos de los bonos del Gobierno Federal en moneda nacional a 10 años se ubicó en 9.2%, con una reducción de 36 pb respecto al promedio del trimestre previo, al tiempo que el riesgo país, medido por el EMBI+, disminuyó en 19 pb para ubicarse al cierre en 168 puntos, por debajo del promedio observado en 2023 y el nivel más bajo desde noviembre de 2014. En este contexto, el Banco de México, por primera vez desde junio de 2021, redujo durante el trimestre su tasa de referencia en 25 pb, situándose en 11.0% ante el reconocimiento del avance del proceso deflacionario; no obstante, consideró que persisten retos y riesgos que ameritan continuar con un manejo prudente de la política monetaria.</w:t>
      </w:r>
    </w:p>
    <w:p w14:paraId="0C1FAEB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primer trimestre de 2024 el ritmo de la actividad económica global se aceleró con respecto al trimestre previo, derivado del crecimiento en China, Europa y otras economías emergentes. Lo anterior, a pesar de la postura monetaria restrictiva por parte de los principales bancos centrales del mundo. Respecto a la inflación a nivel global, esta descendió de manera más gradual y con ciertos repuntes durante el periodo como en el caso de EE.UU. Esto fue reflejo, por un lado, de una mayor persistencia en los precios de servicios de alojamiento y de transporte, y por los desfases del mercado laboral. Por el otro, se presentaron choques de oferta a nivel global vinculados con el sector energético, lo que repercutió al alza en los precios y las expectativas de inflación. </w:t>
      </w:r>
    </w:p>
    <w:p w14:paraId="0F59A23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ritmo de crecimiento de la economía estadounidense fue superior al esperado por el consenso de analistas al inicio de 2024, aunque menor con respecto al trimestre previo. Al interior, el consumo privado presentó la mayor contribución al PIB asociado a la solidez del mercado laboral. En China, la economía aceleró su crecimiento durante el primer trimestre debido a un aumento de la producción industrial y la inversión, aunque la debilidad del sector inmobiliario continuó pesando sobre la actividad económica. </w:t>
      </w:r>
    </w:p>
    <w:p w14:paraId="7D27C99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la zona euro, los indicadores adelantados apuntaron hacia un crecimiento económico moderado en el primer trimestre respaldado por el sector servicios y mejores índices de confianza; no obstante, la pérdida de dinamismo en la producción industrial repercutió sobre el desempeño de la economía. En el mercado de materias primas los precios de los energéticos, alimentos e insumos industriales aumentaron en el primer trimestre de 2024, derivado de los conflictos geopolíticos en el Mar Rojo, los fenómenos climatológicos adversos y los recortes en la producción de petróleo por parte de la Organización de Países Productores de Petróleo y sus aliados (OPEP+). </w:t>
      </w:r>
    </w:p>
    <w:p w14:paraId="4E8D74B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este contexto, la FED decidió mantener sin cambios su tasa de política monetaria durante el periodo. Los riesgos inflacionarios y la fortaleza económica en EE.UU. provocaron en el mercado un aplazamiento de la expectativa del primer recorte hasta la segunda mitad del año, lo que generó episodios de volatilidad y condiciones financieras menos favorables hacia el cierre del primer trimestre</w:t>
      </w:r>
    </w:p>
    <w:p w14:paraId="0019514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La economía estadounidense registró un crecimiento trimestral de 0.4% real en el primer trimestre de 2024, por encima de las expectativas del mercado al inicio del periodo de 0.2%, aunque por debajo del 0.8% del trimestre previo. Durante este periodo el crecimiento continuó impulsado por la demanda interna, principalmente, por el consumo privado, que contribuyó con 0.4 </w:t>
      </w:r>
      <w:proofErr w:type="spellStart"/>
      <w:r w:rsidRPr="001C219E">
        <w:rPr>
          <w:rFonts w:ascii="Arial" w:hAnsi="Arial" w:cs="Arial"/>
          <w:sz w:val="18"/>
          <w:szCs w:val="18"/>
        </w:rPr>
        <w:t>pp</w:t>
      </w:r>
      <w:proofErr w:type="spellEnd"/>
      <w:r w:rsidRPr="001C219E">
        <w:rPr>
          <w:rFonts w:ascii="Arial" w:hAnsi="Arial" w:cs="Arial"/>
          <w:sz w:val="18"/>
          <w:szCs w:val="18"/>
        </w:rPr>
        <w:t xml:space="preserve"> al aumento del PIB. Esto se debió a la sólida creación de empleo y al balance de los hogares que mostró un comportamiento favorable. Por su parte, el gasto de gobierno y la inversión privada, tanto residencial como no residencial, contribuyeron positivamente al crecimiento del PIB. Este dinamismo fue parcialmente contrarrestado por disminuciones en la acumulación de inventarios y en las exportaciones netas.</w:t>
      </w:r>
    </w:p>
    <w:p w14:paraId="042ABC9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mercado laboral de EE.UU. mantuvo un sólido desempeño en el primer trimestre de 2024. La tasa de desempleo se ubicó en 3.8% en marzo, 0.1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encima de la observada en diciembre del año anterior. Por su parte, el ritmo de creación de empleo se aceleró al registrar un promedio de 276 mil empleos mensuales, nivel por encima de lo esperado y de las 212 mil plazas registradas en el periodo previo. Este mejor desempeño provino, principalmente, de los servicios públicos, comercio y transporte. Mientras tanto, el número de vacantes abiertas disminuyó en 133 mil plazas hasta ubicarse en 8.8 millones en febrero.</w:t>
      </w:r>
    </w:p>
    <w:p w14:paraId="7C6ABE0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primer trimestre de 2024, la producción industrial en EE.UU. registró una caída trimestral de 0.5%, luego de haber caído en la misma magnitud durante el cuarto trimestre del año previo. Este desempeño se explicó, principalmente, por el sector de la minería que se contrajo 3.2% a una tasa trimestral, debido a una menor extracción de petróleo y gas, así como de producción de carbón, mientras que los servicios públicos se incrementaron 0.2% asociado a una mayor demanda de gas y electricidad.</w:t>
      </w:r>
    </w:p>
    <w:p w14:paraId="644C941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Por su parte, el sector de las manufacturas —con una participación del 75% en el total— se mantuvo sin cambios durante el periodo. Al interior de las manufacturas, en el grupo de bienes no duraderos su producción se contrajo en 0.1% trimestral por el subsector de petróleo y carbón, que registró una caída trimestral de 1.6%, asociado a una menor refinación y a la tormenta invernal en Texas a mediados de enero. No obstante, la producción de bienes duraderos aumentó 0.1% trimestral, y los sectores clave para México como la producción de electrónicos, aeroespacial, además de vehículos y autopartes crecieron 0.5, 1.4 y 2.9%, respectivamente.</w:t>
      </w:r>
    </w:p>
    <w:p w14:paraId="4438EE1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inflación general en EE.UU. se incrementó en febrero y marzo de 2024, en su variación anual, debido a alzas en los precios de gasolinas y a la persistencia en los precios de servicios de renta de vivienda. Así, la inflación anual del índice general de precios al consumidor aumentó de 3.4% en diciembre a 3.5% en marzo de 2024, mientras que el componente subyacente disminuyó de 3.9 a 3.8% durante el mismo periodo. Con respecto a este último componente, el sector servicios tuvo una contribución de 3.1 </w:t>
      </w:r>
      <w:proofErr w:type="spellStart"/>
      <w:r w:rsidRPr="001C219E">
        <w:rPr>
          <w:rFonts w:ascii="Arial" w:hAnsi="Arial" w:cs="Arial"/>
          <w:sz w:val="18"/>
          <w:szCs w:val="18"/>
        </w:rPr>
        <w:t>pp</w:t>
      </w:r>
      <w:proofErr w:type="spellEnd"/>
      <w:r w:rsidRPr="001C219E">
        <w:rPr>
          <w:rFonts w:ascii="Arial" w:hAnsi="Arial" w:cs="Arial"/>
          <w:sz w:val="18"/>
          <w:szCs w:val="18"/>
        </w:rPr>
        <w:t xml:space="preserve"> a la inflación general en marzo, en particular por los rubros de alojamiento (2.0 </w:t>
      </w:r>
      <w:proofErr w:type="spellStart"/>
      <w:r w:rsidRPr="001C219E">
        <w:rPr>
          <w:rFonts w:ascii="Arial" w:hAnsi="Arial" w:cs="Arial"/>
          <w:sz w:val="18"/>
          <w:szCs w:val="18"/>
        </w:rPr>
        <w:t>pp</w:t>
      </w:r>
      <w:proofErr w:type="spellEnd"/>
      <w:r w:rsidRPr="001C219E">
        <w:rPr>
          <w:rFonts w:ascii="Arial" w:hAnsi="Arial" w:cs="Arial"/>
          <w:sz w:val="18"/>
          <w:szCs w:val="18"/>
        </w:rPr>
        <w:t xml:space="preserve">), servicios de transporte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y médicos (0.1 </w:t>
      </w:r>
      <w:proofErr w:type="spellStart"/>
      <w:r w:rsidRPr="001C219E">
        <w:rPr>
          <w:rFonts w:ascii="Arial" w:hAnsi="Arial" w:cs="Arial"/>
          <w:sz w:val="18"/>
          <w:szCs w:val="18"/>
        </w:rPr>
        <w:t>pp</w:t>
      </w:r>
      <w:proofErr w:type="spellEnd"/>
      <w:r w:rsidRPr="001C219E">
        <w:rPr>
          <w:rFonts w:ascii="Arial" w:hAnsi="Arial" w:cs="Arial"/>
          <w:sz w:val="18"/>
          <w:szCs w:val="18"/>
        </w:rPr>
        <w:t xml:space="preserve">). Mientras tanto, el rubro de bienes mantuvo su proceso </w:t>
      </w:r>
      <w:proofErr w:type="spellStart"/>
      <w:r w:rsidRPr="001C219E">
        <w:rPr>
          <w:rFonts w:ascii="Arial" w:hAnsi="Arial" w:cs="Arial"/>
          <w:sz w:val="18"/>
          <w:szCs w:val="18"/>
        </w:rPr>
        <w:t>desinflacionario</w:t>
      </w:r>
      <w:proofErr w:type="spellEnd"/>
      <w:r w:rsidRPr="001C219E">
        <w:rPr>
          <w:rFonts w:ascii="Arial" w:hAnsi="Arial" w:cs="Arial"/>
          <w:sz w:val="18"/>
          <w:szCs w:val="18"/>
        </w:rPr>
        <w:t xml:space="preserve">. </w:t>
      </w:r>
    </w:p>
    <w:p w14:paraId="15DEEF7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variación anual del deflactor implícito del gasto en consumo personal se aceleró de 2.6 a 2.7% entre diciembre y marzo de 2024, mientras que su componente subyacente redujo su ritmo de crecimiento anual de 2.9 a 2.8% en el mismo periodo, principalmente por la deflación en el rubro de bienes. Cabe destacar que las expectativas de inflación se mantuvieron estables en el corto plazo. En marzo de 2024, de acuerdo con la Reserva Federal de Nueva York, las expectativas a 12 meses permanecieron sin cambios en 3.0% con respecto a diciembre, mientras que las de cinco años aumentaron en 0.1 </w:t>
      </w:r>
      <w:proofErr w:type="spellStart"/>
      <w:r w:rsidRPr="001C219E">
        <w:rPr>
          <w:rFonts w:ascii="Arial" w:hAnsi="Arial" w:cs="Arial"/>
          <w:sz w:val="18"/>
          <w:szCs w:val="18"/>
        </w:rPr>
        <w:t>pp</w:t>
      </w:r>
      <w:proofErr w:type="spellEnd"/>
      <w:r w:rsidRPr="001C219E">
        <w:rPr>
          <w:rFonts w:ascii="Arial" w:hAnsi="Arial" w:cs="Arial"/>
          <w:sz w:val="18"/>
          <w:szCs w:val="18"/>
        </w:rPr>
        <w:t>, a 2.6%, asociado con el incremento en los precios de energéticos durante el año.</w:t>
      </w:r>
    </w:p>
    <w:p w14:paraId="29078AC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Los indicadores adelantados de la zona euro mostraron un crecimiento moderado de la actividad económica durante el primer trimestre de 2024, después de un estancamiento en la segunda mitad de 2023. A nivel sectorial, los servicios registraron un mayor dinamismo en febrero y marzo, tras seis meses en terreno de contracción de acuerdo con el Índice de Gerentes de Compra (PMI, por sus siglas en inglés). Mientras tanto, las manufacturas continuaron con un débil desempeño, reflejo del efecto rezagado de los altos precios de energéticos y las condiciones financieras restrictivas durante el periodo. A nivel país, el mayor dinamismo económico provino de España e Italia, en contraste con Alemania y Francia, quienes se mantuvieron rezagados. </w:t>
      </w:r>
    </w:p>
    <w:p w14:paraId="77F1117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Las presiones inflacionarias siguieron con una tendencia decreciente en la zona euro, lo que explicó en parte el repunte en la confianza del consumidor durante el primer bimestre del año. Así, la inflación general anual se redujo de 2.9% a 2.4%, entre diciembre y marzo de 2024, mientras que la inflación subyacente disminuyó de 3.4 a 2.9%, en el mismo periodo. Este comportamiento se explicó por la persistencia en los precios de servicios, con una contribución promedio de 1.7 </w:t>
      </w:r>
      <w:proofErr w:type="spellStart"/>
      <w:r w:rsidRPr="001C219E">
        <w:rPr>
          <w:rFonts w:ascii="Arial" w:hAnsi="Arial" w:cs="Arial"/>
          <w:sz w:val="18"/>
          <w:szCs w:val="18"/>
        </w:rPr>
        <w:t>pp</w:t>
      </w:r>
      <w:proofErr w:type="spellEnd"/>
      <w:r w:rsidRPr="001C219E">
        <w:rPr>
          <w:rFonts w:ascii="Arial" w:hAnsi="Arial" w:cs="Arial"/>
          <w:sz w:val="18"/>
          <w:szCs w:val="18"/>
        </w:rPr>
        <w:t xml:space="preserve"> a la inflación general durante el periodo, asociado en parte a las elevadas presiones salariales y una menor productividad laboral.</w:t>
      </w:r>
    </w:p>
    <w:p w14:paraId="66A3E7D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El ritmo de la actividad económica en China aumentó a una tasa trimestral de 1.6% real, desde el 1.2% del trimestre previo, mayor a lo previsto por el consenso de analistas al inicio de 2024. Este dinamismo se atribuyó a un mejor desempeño de la producción industrial y de la inversión fija bruta con respecto al trimestre previo; sin embargo, el crecimiento estuvo limitado por el débil desempeño del sector inmobiliario, el alto endeudamiento público y las tensiones comerciales con EE.UU. Por lo anterior, el banco central de China redujo en 25 pb la tasa preferencial a cinco años a 3.95%, vinculada en mayor medida con las hipotecas, mientras que mantuvo en 2.5% la tasa de referencia a un año, con el fin de impulsar el ritmo de la actividad económica. </w:t>
      </w:r>
    </w:p>
    <w:p w14:paraId="2A0483C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Por su parte, la inflación general de precios al consumidor creció 0.1% anual en marzo, hilando dos meses de crecimiento consecutivo, donde los precios de los servicios de educación, culturales y de recreación tuvieron el mayor incremento impulsados principalmente por el subcomponente de turismo que creció 6.0% anual reflejo de un mayor consumo interno.</w:t>
      </w:r>
    </w:p>
    <w:p w14:paraId="0BF873B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Durante el primer trimestre de 2024, los precios de las materias primas se incrementaron con respecto al trimestre previo. Los precios del Brent, el WTI y la mezcla mexicana se ubicaron al cierre de marzo en 87.0, 83.2 y 77.9 dólares por barril (dpb), respectivamente, lo que representó aumentos de 12.1, 16.1 y 15.1%, con respecto al cierre del cuarto trimestre de 2023.</w:t>
      </w:r>
    </w:p>
    <w:p w14:paraId="7FC7B2E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Esto se debió principalmente a las afectaciones comerciales provocadas por el conflicto en el Mar Rojo y los daños a la infraestructura energética rusa por parte de Ucrania. Adicionalmente, el 3 de marzo, la OPEP+ anunció la extensión de su recorte por 2.2 millones de barriles diarios (</w:t>
      </w:r>
      <w:proofErr w:type="spellStart"/>
      <w:r w:rsidRPr="001C219E">
        <w:rPr>
          <w:rFonts w:ascii="Arial" w:hAnsi="Arial" w:cs="Arial"/>
          <w:sz w:val="18"/>
          <w:szCs w:val="18"/>
        </w:rPr>
        <w:t>Mbd</w:t>
      </w:r>
      <w:proofErr w:type="spellEnd"/>
      <w:r w:rsidRPr="001C219E">
        <w:rPr>
          <w:rFonts w:ascii="Arial" w:hAnsi="Arial" w:cs="Arial"/>
          <w:sz w:val="18"/>
          <w:szCs w:val="18"/>
        </w:rPr>
        <w:t xml:space="preserve">) para el segundo trimestre. </w:t>
      </w:r>
    </w:p>
    <w:p w14:paraId="15DCB18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mercado del gas natural, la referencia estadounidense Henry Hub (HH) y la europea TTF presentaron valores de 1.5 y 8.7 dólares por </w:t>
      </w:r>
      <w:proofErr w:type="spellStart"/>
      <w:r w:rsidRPr="001C219E">
        <w:rPr>
          <w:rFonts w:ascii="Arial" w:hAnsi="Arial" w:cs="Arial"/>
          <w:sz w:val="18"/>
          <w:szCs w:val="18"/>
        </w:rPr>
        <w:t>MMBtu</w:t>
      </w:r>
      <w:proofErr w:type="spellEnd"/>
      <w:r w:rsidRPr="001C219E">
        <w:rPr>
          <w:rFonts w:ascii="Arial" w:hAnsi="Arial" w:cs="Arial"/>
          <w:sz w:val="18"/>
          <w:szCs w:val="18"/>
        </w:rPr>
        <w:t>, al 29 de marzo, lo que representó disminuciones de 40.3 y 17.4% con respecto al cierre el trimestre previo. Este comportamiento se debió a los altos niveles de producción de gas en EE.UU., la alta acumulación de inventarios e inviernos más cálidos que lo anticipado.</w:t>
      </w:r>
    </w:p>
    <w:p w14:paraId="4E9309D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otra parte, el índice de precios de metales industriales de Bloomberg disminuyó 2.0% en el primer trimestre. En particular, los precios del acero y el hierro cayeron 24.2 y 24.6%, respectivamente, asociado a la debilidad del sector inmobiliario chino. No obstante, el cobre aumentó 3.0% ante la menor oferta de los dos productores mineros más grandes, Chile y Perú, y una mayor demanda impulsada por la transición energética en economías avanzadas. </w:t>
      </w:r>
    </w:p>
    <w:p w14:paraId="233E3BC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Finalmente, el índice de precios de los alimentos de la Organización de las Naciones Unidas para la Alimentación y la Agricultura (FAO, por sus siglas en inglés) se redujo 0.8% entre diciembre de 2023 y marzo de 2024. El precio del trigo cayó 10.8% como resultado de los mayores niveles de exportación de Rusia, EE.UU. y la Unión Europea; mientras que el precio del maíz se redujo 6.2% por la mayor cosecha en Argentina y Brasil. Por otro lado, los precios de los aceites vegetales aumentaron 6.8%, principalmente por el impulso de la industria de biocombustibles y la baja estacional en la producción.</w:t>
      </w:r>
    </w:p>
    <w:p w14:paraId="04126362"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Durante el primer trimestre de 2024, las principales economías avanzadas mantuvieron sin cambios sus tasas de referencia. Si bien se reforzó la expectativa del inicio del ciclo de baja de tasas, la fecha probable de la primera reducción se retrasó hacia la segunda mitad del año ante la persistencia de las presiones inflacionarias. Por su parte, continuó la relajación del ciclo monetario en las economías de Latinoamérica durante el mismo periodo. Así, la FED mantuvo sin cambios su tasa de referencia en un rango de 5.25-5.50% durante las dos reuniones del año llevadas a cabo el 31 de enero y el 20 de marzo de 2024. Mientras tanto, continuó la reducción de su hoja de balance, situándose en 7.5 billones de dólares al cierre de marzo, una disminución de 0.2 billones de dólares respecto al cierre del trimestre previo. Durante la última reunión de política monetaria, el presidente de la FED, Jerome Powell, reiteró la importancia de contar con datos contundentes de inflación que garanticen una rápida convergencia para realizar un ajuste de política monetaria. </w:t>
      </w:r>
    </w:p>
    <w:p w14:paraId="2483E23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Esta postura se reflejó en las últimas proyecciones de marzo publicadas por el Comité de Mercado Abierto. Sus miembros estimaron una reducción de 75 pb en su tasa de referencia, que situó la mediana en 4.6%, en contraste con lo esperado a inicios de año por el mercado que estimaban una reducción de hasta 150 pb. Sin embargo, tras los repuntes de inflación y la persistencia en los precios de servicios, el mercado de futuros redujo sus perspectivas de tasa por lo que cerró el trimestre en línea con las proyecciones de la FED. El BCE, por su parte, decidió mantener sin cambios las tasas de interés oficiales durante el primer trimestre de 2024. La tasa de depósitos se ubicó en 4.0%, la de refinanciamiento en 4.50% y la de crédito marginal en 4.75% al cierre del trimestre. </w:t>
      </w:r>
    </w:p>
    <w:p w14:paraId="574DCCE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En la última reunión de política monetaria en marzo, la presidenta del BCE, Christine Lagarde, destacó que el banco central había realizado las acciones suficientes para que la inflación alcanzara su nivel deseado, lo que llevó al mercado a asumir tres reducciones de tasa en 25 pb para el 2024, con la expectativa de que en junio se realice el primer recorte. Mientras tanto, se mantuvo la reducción en la hoja de balance del BCE como resultado del ajuste en el tamaño de la cartera del Programa de Compra de Activos (APP, por sus siglas en inglés). Así, el saldo de balance al cierre del primer trimestre de 2024 fue de 6.6 billones de euros, 0.3 billones de euros por debajo de su nivel registrado al cierre del trimestre previo. </w:t>
      </w:r>
    </w:p>
    <w:p w14:paraId="52A789E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Por su parte, la mayoría de las economías de Latinoamérica redujo sus tasas de referencia durante el primer trimestre de 2024, debido a la tendencia decreciente de las presiones inflacionarias y, en algunos casos, para estimular su actividad económica. En específico, Brasil, Chile, Colombia, Costa Rica y México presentaron reducciones acumuladas de sus tasas de referencia durante el periodo de 100, 100, 75, 75 y 25 pb, respectivamente.</w:t>
      </w:r>
    </w:p>
    <w:p w14:paraId="54A1E60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Las condiciones financieras mostraron un comportamiento restrictivo en el primer trimestre de 2024, si bien fueron más favorables comparadas con el último trimestre del año previo. Así, a pesar de que la tasa de 10 años de los bonos del Tesoro cerrara en 4.2% con un aumento de 32 pb con respecto al cierre del trimestre previo, ésta se ubicó por debajo del pico alcanzado en octubre de 2023 cercano al 5.0%. Asimismo, se presentaron episodios de volatilidad en los mercados financieros, por lo que el índice VIX aumentó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entre los cierres de ambos trimestres.</w:t>
      </w:r>
    </w:p>
    <w:p w14:paraId="44B67997" w14:textId="2B3A128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el índice S&amp;P 500 cerró en máximos históricos a finales de marzo, apoyado por el crecimiento de las empresas del sector tecnológico y el impulso por la inteligencia artificial. Los mercados accionarios de economías emergentes reportaron un aumento de 1.9% en el mismo periodo, de acuerdo con el índice bursátil MSCI, en un entorno de mayor apetito por riesgo. Adicionalmente, el riesgo país de economías emergentes, medido por el EMBI+ disminuyó 51 pb durante el periodo referido, mientras que el flujo hacia estas economías presentó una entrada de capitales de 5.2%, particularmente en instrumentos de deuda. </w:t>
      </w:r>
    </w:p>
    <w:p w14:paraId="2EC07A5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Finalmente, se observó una depreciación de 0.9% en el índice MSCI de monedas emergentes con respecto al cierre del trimestre previo, ante una mayor fortaleza del dólar, el cual se apreció en 3.1% durante el mismo periodo. Es importante destacar que, durante el trimestre, el peso mexicano y colombiano presentaron apreciaciones de 2.5 y 0.1%, respectivamente.</w:t>
      </w:r>
    </w:p>
    <w:p w14:paraId="4E879A3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primer trimestre de 2024, la actividad económica de México continuó creciendo. Por un lado, se observó un impulso positivo proveniente de la inversión, la cual siguió creciendo y alcanzó niveles máximos. Lo anterior en un entorno de altos niveles de confianza empresarial, cambios en tendencias globales y relocalización de empresas.</w:t>
      </w:r>
    </w:p>
    <w:p w14:paraId="3EBCEB3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otro lado, se observó una disminución en el consumo de bienes nacionales y servicios, luego de que éstos últimos crecieran fuertemente después de la pandemia de COVID-19. No obstante, la fortaleza del mercado laboral y el aumento de los salarios reales generaron altos niveles de confianza del consumidor que, junto con la apreciación del tipo de cambio, favorecieron los incrementos en algunos rubros del consumo privado, como el de bienes importados y el de ventas de automóviles nuevos. Por el lado del sector externo, el turismo mostró un notable crecimiento por la mayor entrada de viajeros internacionales, mientras que el flujo de remesas continuó en niveles máximos. Además, con la última información disponible, se registró una mayor captación de Inversión Extranjera Directa (IED), particularmente en los sectores manufacturero y de servicios financieros. </w:t>
      </w:r>
    </w:p>
    <w:p w14:paraId="70984B9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las exportaciones crecieron moderadamente durante el trimestre, principalmente las manufactureras no automotrices, pero predominó el alza generalizada de todos los componentes de las importaciones. En ese contexto, con base en la estimación oportuna del primer trimestre de 2024, la actividad económica aumentó 1.6% anual y 0.2% trimestral, con cifras ajustadas por estacionalidad. </w:t>
      </w:r>
    </w:p>
    <w:p w14:paraId="013C36E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su interior, los servicios crecieron 0.7% respecto al trimestre previo, mientras que las actividades primarias y secundarias retrocedieron 0.4 y 1.1%, respectivamente. La información del Indicador Global de la Actividad Económica (IGAE) del primer bimestre de 2024 mostró que la economía se contrajo en 0.3% bimestral, con cifras ajustadas por estacionalidad. Lo anterior se explicó por la reducción de 2.8% en las actividades agropecuarias y el retroceso de 0.2% de las secundarias, que obedeció a las condiciones climatológicas adversas y otros choques de oferta temporales. </w:t>
      </w:r>
    </w:p>
    <w:p w14:paraId="559CCC2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Por su parte, las actividades terciarias aumentaron 0.1%, principalmente por la alta demanda de los sectores relacionados con los servicios de transporte y comercio con el exterior. En cuanto a los subsectores, se registraron los siguientes resultados bimestrales, con cifras ajustadas por estacionalidad: </w:t>
      </w:r>
    </w:p>
    <w:p w14:paraId="3CF48CF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sym w:font="Symbol" w:char="F0B7"/>
      </w:r>
      <w:r w:rsidRPr="001C219E">
        <w:rPr>
          <w:rFonts w:ascii="Arial" w:hAnsi="Arial" w:cs="Arial"/>
          <w:sz w:val="18"/>
          <w:szCs w:val="18"/>
        </w:rPr>
        <w:t xml:space="preserve"> Las actividades agropecuarias disminuyeron 2.8%, lo que representó la tercera caída bimestral continua. Esto se debió, principalmente, a las condiciones de sequía, en las que 60% de los municipios del país registraron la menor disponibilidad de agua. Lo anterior afectó diversos cultivos, como el maíz, el frijol y la cebolla, lo que ocasionó una contracción del sector agrícola. </w:t>
      </w:r>
    </w:p>
    <w:p w14:paraId="30180CB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sym w:font="Symbol" w:char="F0B7"/>
      </w:r>
      <w:r w:rsidRPr="001C219E">
        <w:rPr>
          <w:rFonts w:ascii="Arial" w:hAnsi="Arial" w:cs="Arial"/>
          <w:sz w:val="18"/>
          <w:szCs w:val="18"/>
        </w:rPr>
        <w:t xml:space="preserve"> Las actividades secundarias disminuyeron 0.2%, debido a que todos sus sectores deterioraron su desempeño a finales del bimestre. A continuación, se describe con mayor detalle el comportamiento bimestral de los sectores industriales, con cifras ajustadas por estacionalidad:</w:t>
      </w:r>
    </w:p>
    <w:p w14:paraId="023128B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o La minería disminuyó 0.1% por la extracción de petróleo y gas, que se redujo 2.0% derivado de las caídas de la perforación y extracción de pozos petroleros, así como la lenta recuperación en la producción luego de los incidentes ocurridos durante 2023. No obstante, los minerales metálicos y no metálicos, junto con los servicios relacionados a la minería, aumentaron en 2.3 y 8.9%, respectivamente. </w:t>
      </w:r>
    </w:p>
    <w:p w14:paraId="58657C8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o La generación de electricidad, agua y suministro de gas disminuyó 1.3% derivado de una menor acumulación de agua en las presas de uso eléctrico, al aumento de los costos de producción debido a las alzas en los precios internacionales del gas y a las afectaciones por las nevadas en Texas al suministro de energía en el norte del país. o La construcción se contrajo 0.2% por el retroceso de la edificación (- 0.6%), y trabajos especializados (- 3.2%), en un contexto de altas tasas de interés y presiones en algunos precios de materiales de construcción. Por su parte, las obras de ingeniería civil aumentaron 3.7% por la inversión pública y privada, principalmente en los sectores de obras ferroviarias y de edificios industriales. </w:t>
      </w:r>
    </w:p>
    <w:p w14:paraId="5CA402C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o Las manufacturas se redujeron 0.1% por la caída de 13 de sus 21 subsectores que fueron afectados, principalmente, por los diversos choques de oferta como la tormenta invernal en Texas. Así, los sectores más vinculados al exterior retrocedieron, como el equipo de transporte (- 0.4%), los aparatos eléctricos (- 3.0%), el equipo de computación (- 1.4%) y la maquinaria y equipo (- 0.4%). </w:t>
      </w:r>
    </w:p>
    <w:p w14:paraId="3FF2A09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sym w:font="Symbol" w:char="F0B7"/>
      </w:r>
      <w:r w:rsidRPr="001C219E">
        <w:rPr>
          <w:rFonts w:ascii="Arial" w:hAnsi="Arial" w:cs="Arial"/>
          <w:sz w:val="18"/>
          <w:szCs w:val="18"/>
        </w:rPr>
        <w:t xml:space="preserve"> Las actividades terciarias crecieron 0.1% por el desempeño positivo de 8 de sus 14 subsectores. En su interior, los mayores incrementos se dieron en los servicios de transporte, correos y almacenamiento (2.4%) e información en medios masivos (2.3%) derivado del incremento en la demanda de distintos sectores económicos por servicios logísticos y de comunicación. Por otra parte, los servicios de apoyo a los negocios disminuyeron 7.1% por el cumplimiento de las regulaciones laborales en materia de subcontratación. Adicionalmente, debido a la normalización en la demanda de las actividades intensivas en contacto personal y los mayores precios de los insumos, se redujo el alojamiento temporal y preparación de bebidas (- 2.5%) y el esparcimiento (- 2.9%).</w:t>
      </w:r>
    </w:p>
    <w:p w14:paraId="719846E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Respecto al PIB por el lado del gasto, de acuerdo con la última información disponible al cuarto trimestre de 2023, la demanda agregada creció 0.3% trimestral, con cifras ajustadas por estacionalidad. Con dicho resultado, se ligaron 14 trimestres de alzas consecutivas. En su interior, todos sus componentes registraron incrementos trimestrales: el consumo de 0.9%, la inversión de 0.1% y las exportaciones de 0.4%. </w:t>
      </w:r>
    </w:p>
    <w:p w14:paraId="52A7300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el lado de la oferta agregada, las importaciones aumentaron 0.4% trimestral, luego de la caída del trimestre previo. En particular, el desempeño positivo del consumo se explicó tanto por la parte privada como la pública, al aumentar 0.9 y 0.3% trimestral, respectivamente. Dentro del consumo privado, destacaron los incrementos en los bienes nacionales duraderos y </w:t>
      </w:r>
      <w:proofErr w:type="spellStart"/>
      <w:r w:rsidRPr="001C219E">
        <w:rPr>
          <w:rFonts w:ascii="Arial" w:hAnsi="Arial" w:cs="Arial"/>
          <w:sz w:val="18"/>
          <w:szCs w:val="18"/>
        </w:rPr>
        <w:t>semiduraderos</w:t>
      </w:r>
      <w:proofErr w:type="spellEnd"/>
      <w:r w:rsidRPr="001C219E">
        <w:rPr>
          <w:rFonts w:ascii="Arial" w:hAnsi="Arial" w:cs="Arial"/>
          <w:sz w:val="18"/>
          <w:szCs w:val="18"/>
        </w:rPr>
        <w:t xml:space="preserve">, así como en los bienes importados </w:t>
      </w:r>
      <w:proofErr w:type="spellStart"/>
      <w:r w:rsidRPr="001C219E">
        <w:rPr>
          <w:rFonts w:ascii="Arial" w:hAnsi="Arial" w:cs="Arial"/>
          <w:sz w:val="18"/>
          <w:szCs w:val="18"/>
        </w:rPr>
        <w:t>semiduraderos</w:t>
      </w:r>
      <w:proofErr w:type="spellEnd"/>
      <w:r w:rsidRPr="001C219E">
        <w:rPr>
          <w:rFonts w:ascii="Arial" w:hAnsi="Arial" w:cs="Arial"/>
          <w:sz w:val="18"/>
          <w:szCs w:val="18"/>
        </w:rPr>
        <w:t xml:space="preserve">, en un entorno de apreciación cambiaria. Por su parte, el crecimiento de la inversión se concentró en la parte pública con un alza de 1.7% trimestral por las obras en infraestructura, lo que compensó el descenso de la parte privada de 0.3% principalmente por el rubro de maquinaria y equipo. </w:t>
      </w:r>
    </w:p>
    <w:p w14:paraId="24B5AB9E"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Finalmente, el componente de exportaciones creció trimestralmente 0.4% después de haber disminuido en los cuatro trimestres anteriores. Con la información más reciente de la demanda interna, en enero de 2024 el consumo privado disminuyó 0.6% mensual por la caída de los bienes duraderos y esenciales nacionales, a pesar de que los servicios hilaron tres meses de alza consecutiva. Además, el componente importado aumentó 0.4% mensual por los bienes </w:t>
      </w:r>
      <w:proofErr w:type="spellStart"/>
      <w:r w:rsidRPr="001C219E">
        <w:rPr>
          <w:rFonts w:ascii="Arial" w:hAnsi="Arial" w:cs="Arial"/>
          <w:sz w:val="18"/>
          <w:szCs w:val="18"/>
        </w:rPr>
        <w:t>semiduraderos</w:t>
      </w:r>
      <w:proofErr w:type="spellEnd"/>
      <w:r w:rsidRPr="001C219E">
        <w:rPr>
          <w:rFonts w:ascii="Arial" w:hAnsi="Arial" w:cs="Arial"/>
          <w:sz w:val="18"/>
          <w:szCs w:val="18"/>
        </w:rPr>
        <w:t xml:space="preserve"> y duraderos, apoyados principalmente por la apreciación del tipo de cambio y la solidez del mercado laboral.</w:t>
      </w:r>
    </w:p>
    <w:p w14:paraId="6858DA13"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Por otro lado, en enero, la inversión fija bruta aumentó 0.1% mensual por la construcción residencial que retomó su dinamismo luego de dos meses de caídas, así como por el alza de la maquinaria y equipo de origen importado. Detrás de estos resultados se encontró la apreciación del peso mexicano respecto al dólar y la alta confianza empresarial. En contraparte, la maquinaria y equipo nacional, así como la construcción no residencial se contrajeron; cabe señalar que esta última no había retrocedido desde septiembre de 2023.</w:t>
      </w:r>
    </w:p>
    <w:p w14:paraId="73AA3FE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mercado laboral continuó mostrando fortaleza con nuevos empleos y niveles más bajos de desocupación, debido al aumento de la demanda de personal para satisfacer el crecimiento de diversos sectores. Así, a partir de la información de la ENOE, en el primer trimestre del año la población ocupada aumentó en 470 mil personas respecto al trimestre anterior, lo cual fue superior a su promedio histórico. Al interior, el sector formal creció en 387 mil y el informal aumentó en 83 mil personas, respecto al trimestre previo. </w:t>
      </w:r>
    </w:p>
    <w:p w14:paraId="1CECB3A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los sectores económicos, la población ocupada en los servicios aumentó en 442 mil personas respecto al trimestre anterior. En particular, los servicios en restaurantes y alojamiento aumentaron 198 mil, seguido por los servicios diversos en 140 mil, los servicios de gobierno y organismos internacionales en 70 mil y el sector del transporte en 60 mil. En las actividades secundarias la población ocupada creció en 85 mil, derivado del desempeño de las manufacturas y la industria extractiva que aumentaron en 82 mil y 23 mil, respectivamente. </w:t>
      </w:r>
    </w:p>
    <w:p w14:paraId="0E71DE8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el empleo en la agricultura disminuyó en 22 mil, con lo que acumuló su segundo trimestre a baja, debido tanto a una menor oferta de empleos, como a una reducción en la actividad económica por las afectaciones climatológicas. El incremento de la población ocupada en el primer trimestre no presionó al empleo del sector informal ya que la tasa de informalidad se redujo en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el trimestre anterior, con lo que alcanzó su nivel más bajo registrado, sin considerar la pandemia. Por otra parte, al ubicarse en 60.0%, la tasa de participación disminuyó respecto a su nivel del trimestre previo de 60.4%. Esto se explicó debido a que, a pesar del alza de la población ocupada, predominó el aumento de un millón 112 mil personas en la población no disponible para trabajar. </w:t>
      </w:r>
    </w:p>
    <w:p w14:paraId="68672E0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el primer trimestre del año, la población desocupada disminuyó en 88 mil por los segmentos de 15 a 24 años y, respecto a la duración, bajaron las personas con uno a tres meses de desempleo. Así, la tasa de desocupación se ubicó en 2.5%, inferior en 0.2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al trimestre anterior, con lo que se posicionó con la menor tasa desde que se tiene registro comparable. En cuanto a la población </w:t>
      </w:r>
      <w:proofErr w:type="spellStart"/>
      <w:r w:rsidRPr="001C219E">
        <w:rPr>
          <w:rFonts w:ascii="Arial" w:hAnsi="Arial" w:cs="Arial"/>
          <w:sz w:val="18"/>
          <w:szCs w:val="18"/>
        </w:rPr>
        <w:t>subocupada</w:t>
      </w:r>
      <w:proofErr w:type="spellEnd"/>
      <w:r w:rsidRPr="001C219E">
        <w:rPr>
          <w:rFonts w:ascii="Arial" w:hAnsi="Arial" w:cs="Arial"/>
          <w:sz w:val="18"/>
          <w:szCs w:val="18"/>
        </w:rPr>
        <w:t xml:space="preserve">, ésta disminuyó en 683 mil respecto al trimestre anterior, por lo que la tasa de subocupación se situó en 6.7% promedio del trimestre, lo cual fue 1.1 </w:t>
      </w:r>
      <w:proofErr w:type="spellStart"/>
      <w:r w:rsidRPr="001C219E">
        <w:rPr>
          <w:rFonts w:ascii="Arial" w:hAnsi="Arial" w:cs="Arial"/>
          <w:sz w:val="18"/>
          <w:szCs w:val="18"/>
        </w:rPr>
        <w:t>pp</w:t>
      </w:r>
      <w:proofErr w:type="spellEnd"/>
      <w:r w:rsidRPr="001C219E">
        <w:rPr>
          <w:rFonts w:ascii="Arial" w:hAnsi="Arial" w:cs="Arial"/>
          <w:sz w:val="18"/>
          <w:szCs w:val="18"/>
        </w:rPr>
        <w:t xml:space="preserve"> menor a su promedio histórico. Ello se explicó principalmente por la población de educación básica y media, así como los trabajadores subordinados y remunerados. </w:t>
      </w:r>
    </w:p>
    <w:p w14:paraId="265FAEC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Finalmente, la población disponible para trabajar se redujo en 218 mil personas en comparación con lo registrado en el trimestre anterior, lo que se explicó por la disminución de las personas que consideraban que no tenían posibilidades de encontrar un empleo. Al cierre de marzo, el número de trabajadores afiliados al IMSS aumentó en 265 mil plazas, de los cuales, 170 mil fueron permanentes y 95 mil eventuales. Los sectores económicos que presentaron los mayores aumentos trimestrales fueron las manufacturas (81 mil), los servicios sociales y comunitarios (59 mil), el agropecuario (58 mil), los servicios de empresas y hogares (30 mil), la construcción (26 mil) y los transportes (23 mil). En contraparte, el sector de comercio disminuyó en 17 mil plazas, la primera caída en más de dos años.</w:t>
      </w:r>
    </w:p>
    <w:p w14:paraId="3F7A1C1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Durante el primer trimestre, los salarios reales promedio del IMSS aumentaron 5.3% anual. Entre los sectores con las mayores alzas anuales se encontraron el sector agropecuario (10.1%), el de la construcción (8.7%) y el de las manufacturas (5.9%). A nivel regional, los mayores crecimientos se observaron en el norte (6.1%), mientras que en el sur y centro aumentaron 5.9 y 4.7%, respectivamente. Con base en la información de la ENOE, los ingresos laborales, en términos reales, presentaron un aumento de 7.0% en el promedio del trimestre. Finalmente, los salarios contractuales en la jurisdicción federal presentaron un alza real anual de 3.8%, que benefició a 481 mil trabajadores.</w:t>
      </w:r>
    </w:p>
    <w:p w14:paraId="6834143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materia de precios, la inflación general prolongó, en el primer trimestre de 2024, la trayectoria decreciente observada desde finales de 2022, aunque aumentó ligeramente respecto al trimestre previo. Lo anterior obedeció, principalmente, a las condiciones climatológicas nacionales que afectaron a productos como el jitomate y la cebolla, mientras que los mayores precios internacionales también presionaron a otros bienes como el frijol y la carne de res. </w:t>
      </w:r>
    </w:p>
    <w:p w14:paraId="76BEE3D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Adicionalmente, se observó un efecto de base de comparación en los energéticos, los cuales dejaron de registrar deflación desde noviembre del 2023. De esta manera, durante los primeros tres meses del año, la inflación general promedio se ubicó en 4.6% anual, 0.2 </w:t>
      </w:r>
      <w:proofErr w:type="spellStart"/>
      <w:r w:rsidRPr="001C219E">
        <w:rPr>
          <w:rFonts w:ascii="Arial" w:hAnsi="Arial" w:cs="Arial"/>
          <w:sz w:val="18"/>
          <w:szCs w:val="18"/>
        </w:rPr>
        <w:t>pp</w:t>
      </w:r>
      <w:proofErr w:type="spellEnd"/>
      <w:r w:rsidRPr="001C219E">
        <w:rPr>
          <w:rFonts w:ascii="Arial" w:hAnsi="Arial" w:cs="Arial"/>
          <w:sz w:val="18"/>
          <w:szCs w:val="18"/>
        </w:rPr>
        <w:t xml:space="preserve"> superior al trimestre previo por el componente no subyacente que, al situarse en 4.3% anual, fue 2.5 </w:t>
      </w:r>
      <w:proofErr w:type="spellStart"/>
      <w:r w:rsidRPr="001C219E">
        <w:rPr>
          <w:rFonts w:ascii="Arial" w:hAnsi="Arial" w:cs="Arial"/>
          <w:sz w:val="18"/>
          <w:szCs w:val="18"/>
        </w:rPr>
        <w:t>pp</w:t>
      </w:r>
      <w:proofErr w:type="spellEnd"/>
      <w:r w:rsidRPr="001C219E">
        <w:rPr>
          <w:rFonts w:ascii="Arial" w:hAnsi="Arial" w:cs="Arial"/>
          <w:sz w:val="18"/>
          <w:szCs w:val="18"/>
        </w:rPr>
        <w:t xml:space="preserve"> mayor que el trimestre previo. Por su parte, la inflación subyacente registró una inflación anual de 4.7%, lo cual fue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inferior en comparación con el trimestre anterior.</w:t>
      </w:r>
    </w:p>
    <w:p w14:paraId="542B8F0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principal disminución en la inflación subyacente se observó en las mercancías, al reducirse en 1.2 </w:t>
      </w:r>
      <w:proofErr w:type="spellStart"/>
      <w:r w:rsidRPr="001C219E">
        <w:rPr>
          <w:rFonts w:ascii="Arial" w:hAnsi="Arial" w:cs="Arial"/>
          <w:sz w:val="18"/>
          <w:szCs w:val="18"/>
        </w:rPr>
        <w:t>pp</w:t>
      </w:r>
      <w:proofErr w:type="spellEnd"/>
      <w:r w:rsidRPr="001C219E">
        <w:rPr>
          <w:rFonts w:ascii="Arial" w:hAnsi="Arial" w:cs="Arial"/>
          <w:sz w:val="18"/>
          <w:szCs w:val="18"/>
        </w:rPr>
        <w:t xml:space="preserve"> trimestral y situarse en 4.1% anual, derivado de las bajas en la mayoría de los alimentos procesados, ropa y calzado, productos para el hogar y algunos artículos para el cuidado personal. Los servicios presentaron una inflación de 5.3% anual, lo cual fue ligeramente menor respecto al trimestre anterior en 0.01 </w:t>
      </w:r>
      <w:proofErr w:type="spellStart"/>
      <w:r w:rsidRPr="001C219E">
        <w:rPr>
          <w:rFonts w:ascii="Arial" w:hAnsi="Arial" w:cs="Arial"/>
          <w:sz w:val="18"/>
          <w:szCs w:val="18"/>
        </w:rPr>
        <w:t>pp</w:t>
      </w:r>
      <w:proofErr w:type="spellEnd"/>
      <w:r w:rsidRPr="001C219E">
        <w:rPr>
          <w:rFonts w:ascii="Arial" w:hAnsi="Arial" w:cs="Arial"/>
          <w:sz w:val="18"/>
          <w:szCs w:val="18"/>
        </w:rPr>
        <w:t xml:space="preserve">, como resultado de las reducciones en algunos servicios médicos, educativos y de telecomunicaciones que fueron contrarrestadas por mayores precios en servicios relacionados al turismo durante la Semana Santa. </w:t>
      </w:r>
    </w:p>
    <w:p w14:paraId="6A4CAD3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Dentro de la inflación no subyacente las mayores presiones se observaron en las frutas y verduras que aumentaron 9.1 </w:t>
      </w:r>
      <w:proofErr w:type="spellStart"/>
      <w:r w:rsidRPr="001C219E">
        <w:rPr>
          <w:rFonts w:ascii="Arial" w:hAnsi="Arial" w:cs="Arial"/>
          <w:sz w:val="18"/>
          <w:szCs w:val="18"/>
        </w:rPr>
        <w:t>pp</w:t>
      </w:r>
      <w:proofErr w:type="spellEnd"/>
      <w:r w:rsidRPr="001C219E">
        <w:rPr>
          <w:rFonts w:ascii="Arial" w:hAnsi="Arial" w:cs="Arial"/>
          <w:sz w:val="18"/>
          <w:szCs w:val="18"/>
        </w:rPr>
        <w:t xml:space="preserve"> durante el primer trimestre, que se vieron afectadas por las heladas y las bajas precipitaciones en el territorio nacional. Las mayores contribuciones anuales a la inflación general fueron del jitomate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y la cebolla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los cuales en conjunto explicaron 13.1% de dicha variable. En paralelo, el componente de los energéticos se incrementó 3.3 </w:t>
      </w:r>
      <w:proofErr w:type="spellStart"/>
      <w:r w:rsidRPr="001C219E">
        <w:rPr>
          <w:rFonts w:ascii="Arial" w:hAnsi="Arial" w:cs="Arial"/>
          <w:sz w:val="18"/>
          <w:szCs w:val="18"/>
        </w:rPr>
        <w:t>pp</w:t>
      </w:r>
      <w:proofErr w:type="spellEnd"/>
      <w:r w:rsidRPr="001C219E">
        <w:rPr>
          <w:rFonts w:ascii="Arial" w:hAnsi="Arial" w:cs="Arial"/>
          <w:sz w:val="18"/>
          <w:szCs w:val="18"/>
        </w:rPr>
        <w:t>, lo cual estuvo asociado a los aumentos en las tarifas de electricidad, gasolina regular y gas doméstico.</w:t>
      </w:r>
    </w:p>
    <w:p w14:paraId="589CE456"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índice de precios al productor, incluyendo petróleo, registró una inflación anual promedio de 1.5% durante el primer trimestre de 2024, 0.3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arriba del trimestre anterior. Esto se explicó por los sectores de la minería incluyendo el petróleo (5.2 </w:t>
      </w:r>
      <w:proofErr w:type="spellStart"/>
      <w:r w:rsidRPr="001C219E">
        <w:rPr>
          <w:rFonts w:ascii="Arial" w:hAnsi="Arial" w:cs="Arial"/>
          <w:sz w:val="18"/>
          <w:szCs w:val="18"/>
        </w:rPr>
        <w:t>pp</w:t>
      </w:r>
      <w:proofErr w:type="spellEnd"/>
      <w:r w:rsidRPr="001C219E">
        <w:rPr>
          <w:rFonts w:ascii="Arial" w:hAnsi="Arial" w:cs="Arial"/>
          <w:sz w:val="18"/>
          <w:szCs w:val="18"/>
        </w:rPr>
        <w:t xml:space="preserve">), los servicios de esparcimiento, culturales y deportivos (1.0 </w:t>
      </w:r>
      <w:proofErr w:type="spellStart"/>
      <w:r w:rsidRPr="001C219E">
        <w:rPr>
          <w:rFonts w:ascii="Arial" w:hAnsi="Arial" w:cs="Arial"/>
          <w:sz w:val="18"/>
          <w:szCs w:val="18"/>
        </w:rPr>
        <w:t>pp</w:t>
      </w:r>
      <w:proofErr w:type="spellEnd"/>
      <w:r w:rsidRPr="001C219E">
        <w:rPr>
          <w:rFonts w:ascii="Arial" w:hAnsi="Arial" w:cs="Arial"/>
          <w:sz w:val="18"/>
          <w:szCs w:val="18"/>
        </w:rPr>
        <w:t xml:space="preserve">), los servicios profesionales (0.7 </w:t>
      </w:r>
      <w:proofErr w:type="spellStart"/>
      <w:r w:rsidRPr="001C219E">
        <w:rPr>
          <w:rFonts w:ascii="Arial" w:hAnsi="Arial" w:cs="Arial"/>
          <w:sz w:val="18"/>
          <w:szCs w:val="18"/>
        </w:rPr>
        <w:t>pp</w:t>
      </w:r>
      <w:proofErr w:type="spellEnd"/>
      <w:r w:rsidRPr="001C219E">
        <w:rPr>
          <w:rFonts w:ascii="Arial" w:hAnsi="Arial" w:cs="Arial"/>
          <w:sz w:val="18"/>
          <w:szCs w:val="18"/>
        </w:rPr>
        <w:t xml:space="preserve">) y los servicios de transportes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En contraste, disminuyó la inflación de la construcción (- 0.8 </w:t>
      </w:r>
      <w:proofErr w:type="spellStart"/>
      <w:r w:rsidRPr="001C219E">
        <w:rPr>
          <w:rFonts w:ascii="Arial" w:hAnsi="Arial" w:cs="Arial"/>
          <w:sz w:val="18"/>
          <w:szCs w:val="18"/>
        </w:rPr>
        <w:t>pp</w:t>
      </w:r>
      <w:proofErr w:type="spellEnd"/>
      <w:r w:rsidRPr="001C219E">
        <w:rPr>
          <w:rFonts w:ascii="Arial" w:hAnsi="Arial" w:cs="Arial"/>
          <w:sz w:val="18"/>
          <w:szCs w:val="18"/>
        </w:rPr>
        <w:t xml:space="preserve">), y los servicios de alojamiento temporal y preparación de alimentos y bebidas (- 0.6 </w:t>
      </w:r>
      <w:proofErr w:type="spellStart"/>
      <w:r w:rsidRPr="001C219E">
        <w:rPr>
          <w:rFonts w:ascii="Arial" w:hAnsi="Arial" w:cs="Arial"/>
          <w:sz w:val="18"/>
          <w:szCs w:val="18"/>
        </w:rPr>
        <w:t>pp</w:t>
      </w:r>
      <w:proofErr w:type="spellEnd"/>
      <w:r w:rsidRPr="001C219E">
        <w:rPr>
          <w:rFonts w:ascii="Arial" w:hAnsi="Arial" w:cs="Arial"/>
          <w:sz w:val="18"/>
          <w:szCs w:val="18"/>
        </w:rPr>
        <w:t xml:space="preserve">). </w:t>
      </w:r>
    </w:p>
    <w:p w14:paraId="4CB2197E"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inflación promedio de los materiales para la construcción se ubicó en 1.2% anual durante el primer trimestre del 2024, inferior en 1.0 </w:t>
      </w:r>
      <w:proofErr w:type="spellStart"/>
      <w:r w:rsidRPr="001C219E">
        <w:rPr>
          <w:rFonts w:ascii="Arial" w:hAnsi="Arial" w:cs="Arial"/>
          <w:sz w:val="18"/>
          <w:szCs w:val="18"/>
        </w:rPr>
        <w:t>pp</w:t>
      </w:r>
      <w:proofErr w:type="spellEnd"/>
      <w:r w:rsidRPr="001C219E">
        <w:rPr>
          <w:rFonts w:ascii="Arial" w:hAnsi="Arial" w:cs="Arial"/>
          <w:sz w:val="18"/>
          <w:szCs w:val="18"/>
        </w:rPr>
        <w:t xml:space="preserve"> respecto al trimestre previo debido a la menor inflación en productos como el cemento (- 2.6 </w:t>
      </w:r>
      <w:proofErr w:type="spellStart"/>
      <w:r w:rsidRPr="001C219E">
        <w:rPr>
          <w:rFonts w:ascii="Arial" w:hAnsi="Arial" w:cs="Arial"/>
          <w:sz w:val="18"/>
          <w:szCs w:val="18"/>
        </w:rPr>
        <w:t>pp</w:t>
      </w:r>
      <w:proofErr w:type="spellEnd"/>
      <w:r w:rsidRPr="001C219E">
        <w:rPr>
          <w:rFonts w:ascii="Arial" w:hAnsi="Arial" w:cs="Arial"/>
          <w:sz w:val="18"/>
          <w:szCs w:val="18"/>
        </w:rPr>
        <w:t xml:space="preserve">), productos a base de concreto (- 3.5 </w:t>
      </w:r>
      <w:proofErr w:type="spellStart"/>
      <w:r w:rsidRPr="001C219E">
        <w:rPr>
          <w:rFonts w:ascii="Arial" w:hAnsi="Arial" w:cs="Arial"/>
          <w:sz w:val="18"/>
          <w:szCs w:val="18"/>
        </w:rPr>
        <w:t>pp</w:t>
      </w:r>
      <w:proofErr w:type="spellEnd"/>
      <w:r w:rsidRPr="001C219E">
        <w:rPr>
          <w:rFonts w:ascii="Arial" w:hAnsi="Arial" w:cs="Arial"/>
          <w:sz w:val="18"/>
          <w:szCs w:val="18"/>
        </w:rPr>
        <w:t xml:space="preserve">) y partes estructurales de concreto (- 5.4 </w:t>
      </w:r>
      <w:proofErr w:type="spellStart"/>
      <w:r w:rsidRPr="001C219E">
        <w:rPr>
          <w:rFonts w:ascii="Arial" w:hAnsi="Arial" w:cs="Arial"/>
          <w:sz w:val="18"/>
          <w:szCs w:val="18"/>
        </w:rPr>
        <w:t>pp</w:t>
      </w:r>
      <w:proofErr w:type="spellEnd"/>
      <w:r w:rsidRPr="001C219E">
        <w:rPr>
          <w:rFonts w:ascii="Arial" w:hAnsi="Arial" w:cs="Arial"/>
          <w:sz w:val="18"/>
          <w:szCs w:val="18"/>
        </w:rPr>
        <w:t>). Lo anterior obedeció principalmente a la base de comparación del periodo previo.</w:t>
      </w:r>
    </w:p>
    <w:p w14:paraId="09332C2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Respecto al sector externo, durante el primer trimestre del año, el valor de las exportaciones de mercancías aumentó, aunque de forma moderada, por los mayores precios de las materias primas y la demanda de algunos insumos manufactureros no automotrices al cierre del periodo. Por su parte, el valor de las importaciones de mercancías creció por la solidez del mercado interno, la mayor confianza y la apreciación del tipo de cambio, principalmente. En particular, el valor de las exportaciones totales aumentó 0.6% respecto al trimestre previo, con datos ajustados por estacionalidad, por el incremento de 0.9% del componente no petrolero. </w:t>
      </w:r>
    </w:p>
    <w:p w14:paraId="651C337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Dentro de este rubro, destacó el crecimiento de las manufacturas no automotrices de 3.5% trimestral como los equipos y aparatos electrónicos; mientras que, las exportaciones automotrices retrocedieron 4.3% trimestral. De igual forma, con el aumento de diversas materias primas, el valor de las exportaciones agropecuarias y extractivas se incrementaron 5.1 y 10.3%, respectivamente. Por su parte, el valor del componente de las mercancías petroleras cayó 4.9% trimestral, lo que obedeció a la reducción de 13.0% del volumen de crudo exportado y a la caída de 3.6% del precio de la mezcla mexicana de exportación, respecto al promedio del trimestre anterior. En cuanto al valor de las exportaciones manufactureras dirigidas a EE.UU., éste aumentó 1.2% trimestral, mientras que las dirigidas al resto del mundo disminuyeron 2.7% trimestral, con datos ajustados por estacionalidad. </w:t>
      </w:r>
    </w:p>
    <w:p w14:paraId="583624A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Cabe destacar que, en el primer bimestre del año, México continuó como el principal socio comercial de EE.UU., en donde las manufacturas mexicanas representaron el 16.1% de sus importaciones manufactureras, mayor en 0.9 </w:t>
      </w:r>
      <w:proofErr w:type="spellStart"/>
      <w:r w:rsidRPr="001C219E">
        <w:rPr>
          <w:rFonts w:ascii="Arial" w:hAnsi="Arial" w:cs="Arial"/>
          <w:sz w:val="18"/>
          <w:szCs w:val="18"/>
        </w:rPr>
        <w:t>pp</w:t>
      </w:r>
      <w:proofErr w:type="spellEnd"/>
      <w:r w:rsidRPr="001C219E">
        <w:rPr>
          <w:rFonts w:ascii="Arial" w:hAnsi="Arial" w:cs="Arial"/>
          <w:sz w:val="18"/>
          <w:szCs w:val="18"/>
        </w:rPr>
        <w:t xml:space="preserve"> en términos anuales. Los productos que más aumentaron su participación anual fueron: carrocerías y remolques (11.5 </w:t>
      </w:r>
      <w:proofErr w:type="spellStart"/>
      <w:r w:rsidRPr="001C219E">
        <w:rPr>
          <w:rFonts w:ascii="Arial" w:hAnsi="Arial" w:cs="Arial"/>
          <w:sz w:val="18"/>
          <w:szCs w:val="18"/>
        </w:rPr>
        <w:t>pp</w:t>
      </w:r>
      <w:proofErr w:type="spellEnd"/>
      <w:r w:rsidRPr="001C219E">
        <w:rPr>
          <w:rFonts w:ascii="Arial" w:hAnsi="Arial" w:cs="Arial"/>
          <w:sz w:val="18"/>
          <w:szCs w:val="18"/>
        </w:rPr>
        <w:t xml:space="preserve">), productos metálicos forjados (8.9 </w:t>
      </w:r>
      <w:proofErr w:type="spellStart"/>
      <w:r w:rsidRPr="001C219E">
        <w:rPr>
          <w:rFonts w:ascii="Arial" w:hAnsi="Arial" w:cs="Arial"/>
          <w:sz w:val="18"/>
          <w:szCs w:val="18"/>
        </w:rPr>
        <w:t>pp</w:t>
      </w:r>
      <w:proofErr w:type="spellEnd"/>
      <w:r w:rsidRPr="001C219E">
        <w:rPr>
          <w:rFonts w:ascii="Arial" w:hAnsi="Arial" w:cs="Arial"/>
          <w:sz w:val="18"/>
          <w:szCs w:val="18"/>
        </w:rPr>
        <w:t xml:space="preserve">), equipo de refrigeración industrial y comercial (5.1 </w:t>
      </w:r>
      <w:proofErr w:type="spellStart"/>
      <w:r w:rsidRPr="001C219E">
        <w:rPr>
          <w:rFonts w:ascii="Arial" w:hAnsi="Arial" w:cs="Arial"/>
          <w:sz w:val="18"/>
          <w:szCs w:val="18"/>
        </w:rPr>
        <w:t>pp</w:t>
      </w:r>
      <w:proofErr w:type="spellEnd"/>
      <w:r w:rsidRPr="001C219E">
        <w:rPr>
          <w:rFonts w:ascii="Arial" w:hAnsi="Arial" w:cs="Arial"/>
          <w:sz w:val="18"/>
          <w:szCs w:val="18"/>
        </w:rPr>
        <w:t xml:space="preserve">), bebidas (4.5 </w:t>
      </w:r>
      <w:proofErr w:type="spellStart"/>
      <w:r w:rsidRPr="001C219E">
        <w:rPr>
          <w:rFonts w:ascii="Arial" w:hAnsi="Arial" w:cs="Arial"/>
          <w:sz w:val="18"/>
          <w:szCs w:val="18"/>
        </w:rPr>
        <w:t>pp</w:t>
      </w:r>
      <w:proofErr w:type="spellEnd"/>
      <w:r w:rsidRPr="001C219E">
        <w:rPr>
          <w:rFonts w:ascii="Arial" w:hAnsi="Arial" w:cs="Arial"/>
          <w:sz w:val="18"/>
          <w:szCs w:val="18"/>
        </w:rPr>
        <w:t xml:space="preserve">) y equipo eléctrico (3.9 </w:t>
      </w:r>
      <w:proofErr w:type="spellStart"/>
      <w:r w:rsidRPr="001C219E">
        <w:rPr>
          <w:rFonts w:ascii="Arial" w:hAnsi="Arial" w:cs="Arial"/>
          <w:sz w:val="18"/>
          <w:szCs w:val="18"/>
        </w:rPr>
        <w:t>pp</w:t>
      </w:r>
      <w:proofErr w:type="spellEnd"/>
      <w:r w:rsidRPr="001C219E">
        <w:rPr>
          <w:rFonts w:ascii="Arial" w:hAnsi="Arial" w:cs="Arial"/>
          <w:sz w:val="18"/>
          <w:szCs w:val="18"/>
        </w:rPr>
        <w:t xml:space="preserve">), principalmente. Por su parte, el valor de las importaciones aumentó 4.4% en comparación con el trimestre anterior, con datos ajustados por estacionalidad. Este resultado es consecuencia, principalmente, de los incrementos trimestrales en los componentes no petroleros de bienes intermedios (4.2%), de consumo (6.6%) y de capital (5.0%), lo cual estuvo en línea con la evolución de la demanda interna y la apreciación del tipo de cambio en relación con el dólar estadounidense y otras monedas de países emergentes. </w:t>
      </w:r>
    </w:p>
    <w:p w14:paraId="5092054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 xml:space="preserve">Dentro de las importaciones de bienes intermedios no petroleros, sobresalieron las contribuciones de los incrementos en las compras de autopartes (1.3%), motores diésel para autos (5.0%), y discos o cintas para grabar sonido (5.2%), principalmente. En el caso de los bienes de capital, destacaron las contribuciones de los aumentos de vehículos para el transporte de mercancías (5.0%), equipo de cómputo (2.6%), y aparatos de rayos X (18.5%), principalmente. El valor de las importaciones petroleras creció 1.7% respecto al trimestre anterior resultado del aumento de los precios de petrolíferos como el gas LP y gasolinas, lo cual compensó al menor volumen de importaciones de gasolina y diésel. </w:t>
      </w:r>
    </w:p>
    <w:p w14:paraId="4E07EE6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su interior, durante el bimestre de enero a febrero, el valor de las importaciones de gas LP y gas natural aumentaron respectivamente en 6.9 y 10.7% con relación bimestre previo con datos ajustados por estacionalidad, en tanto que el valor de las importaciones de gasolina disminuyó 10.2%. Así, durante el primer trimestre del año, la balanza comercial presentó un déficit de 3 mil 762 millones de dólares con datos ajustados por estacionalidad, lo que contrastó con el superávit de 1 mil 853 millones del trimestre previo. </w:t>
      </w:r>
    </w:p>
    <w:p w14:paraId="5723442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cambio se atribuyó al déficit en la balanza no petrolera de 838 millones de dólares, frente al superávit de 4 mil 187 millones del periodo anterior. Además, la balanza petrolera aumentó su déficit, al pasar de 2 mil 334 millones a 2 mil 924 millones de dólares en el mismo periodo, con cifras ajustadas por estacionalidad. Por otro lado, los ingresos por remesas en el primer bimestre de 2024 disminuyeron 0.1% respecto al bimestre previo, con información ajustada por estacionalidad. No obstante, acumularon un flujo de 10 mil 535 millones de dólares, máximo histórico para el periodo. </w:t>
      </w:r>
    </w:p>
    <w:p w14:paraId="700FA5D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Sin embargo, en términos reales y en pesos, las remesas tuvieron una caída bimestral de 2.5%, de tal forma que las familias receptoras recibieron una remesa promedio inferior en 0.5% respecto al bimestre anterior. Por otra parte, el turismo retomó su tendencia al alza con resultados positivos en indicadores como ingresos por turismo internacional y la entrada aérea de pasajeros internacionales. En el primer bimestre del año, los ingresos por viajeros internacionales crecieron 1.8% respecto al bimestre anterior. Mientras que, se registró un aumento de 6.2% anual en la entrada de extranjeros por vía aérea, principalmente de EE.UU. y Canadá, con lo que se alcanzó el mayor nivel desde que se tiene registro de 4 millones 259 mil visitantes. </w:t>
      </w:r>
    </w:p>
    <w:p w14:paraId="53D01A6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Finalmente, en relación con la balanza de pagos, la última información disponible al cuarto trimestre de 2023 mostró que la cuenta corriente registró un superávit de 11 mil 662 millones de dólares (2.5% del PIB anualizado), mayor que el registrado en el cuarto trimestre de 2022 de 1 mil 796 millones de dólares (0.5% del PIB). Este aumento anual se atribuyó a la reducción de los saldos deficitarios de la balanza comercial petrolera, de la balanza de servicios y de la balanza del ingreso primario, así como a la ampliación de los superávits de la balanza del ingreso secundario y de la balanza comercial no petrolera. Por su parte, la cuenta financiera registró un préstamo neto con el resto del mundo (salida neta de recursos) de 10 mil 36 millones de dólares en el cuarto trimestre de 2023, mayor que el observado en el mismo periodo de 2022 (4 mil 273 millones de dólares). </w:t>
      </w:r>
    </w:p>
    <w:p w14:paraId="5BC9D7C1"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Este incremento anual es resultado de la salida de recursos en todos sus componentes, principalmente en los rubros de otra inversión por un monto de 5 mil 695 millones de dólares y de derivados financieros por 2 mil 291 millones de dólares. En el primer rubro fue consecuencia de la reducción en los pasivos de préstamos comerciales a la banca comercial mexicana y en el segundo obedeció a la reducción en los pasivos de los no residentes. Asimismo, en el último trimestre de 2023 se registraron préstamos netos en inversión de cartera por un monto de 1 mil 154 millones de dólares lo que se atribuyó a la salida neta en capital que superó la entrada neta de recursos en títulos de deuda principalmente en los destinados al gobierno general. </w:t>
      </w:r>
    </w:p>
    <w:p w14:paraId="2F8DCBB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inversión directa, la salida de recursos fue de 364 millones de dólares debido a que el componente de inversión de residentes al exterior por 1 mil 225 millones de dólares fue mayor que la entrada de IED en México por 862 millones de dólares. Es importante señalar que, si bien la IED en el cuarto trimestre de 2023 fue menor que su promedio histórico, registró montos significativos destinados a sectores como: minería (303 millones de dólares), equipo de cómputo y electrónicos (374 millones de dólares), información en medio masivos (448 millones de dólares) y servicios de alojamiento temporal (298 millones de dólares). Con ello, en 2023 la IED acumuló una entrada de 36 mil 58 millones de dólares, un monto histórico con datos preliminares.</w:t>
      </w:r>
    </w:p>
    <w:p w14:paraId="0DD675F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El sistema financiero mexicano experimentó condiciones financieras restrictivas en el primer trimestre de 2024, aunque en menor magnitud comparado con el trimestre previo. El tipo de cambio se ubicó en 16.6 pesos por dólar estadounidense al 29 de marzo, lo que representó una apreciación de 2.5% con respecto al cierre de 2023. Dicho </w:t>
      </w:r>
      <w:r w:rsidRPr="001C219E">
        <w:rPr>
          <w:rFonts w:ascii="Arial" w:hAnsi="Arial" w:cs="Arial"/>
          <w:sz w:val="18"/>
          <w:szCs w:val="18"/>
        </w:rPr>
        <w:lastRenderedPageBreak/>
        <w:t xml:space="preserve">comportamiento contrastó con la mayoría de las divisas de países emergentes, tales como el peso chileno, el real brasileño y el rand sudafricano que registraron una depreciación de 10.2, 3.1 y 2.7% respectivamente. </w:t>
      </w:r>
    </w:p>
    <w:p w14:paraId="313D712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volatilidad implícita del tipo de cambio a un mes promedió 9.0% durante el primer trimestre, 3.7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debajo del promedio del trimestre previo. Cabe destacar que detrás de la fortaleza de la moneda nacional se encuentran la estabilidad en los indicadores macroeconómicos, el menor déficit en cuenta corriente financiado por flujos de IED y flujos de remesas, la estabilidad política y social del país, así como el diferencial de tasas con respecto a EE.UU. El Banco de México se reunió en dos ocasiones durante el primer trimestre del año, el 8 de febrero y el 21 de marzo de 2024. En esta última reunión, la Junta de Gobierno realizó un recorte de 25 pb a la tasa de interés objetivo situándola en 11.0%. </w:t>
      </w:r>
    </w:p>
    <w:p w14:paraId="0F415B1F"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su comunicado de prensa, la Junta reconoció el avance del proceso </w:t>
      </w:r>
      <w:proofErr w:type="spellStart"/>
      <w:r w:rsidRPr="001C219E">
        <w:rPr>
          <w:rFonts w:ascii="Arial" w:hAnsi="Arial" w:cs="Arial"/>
          <w:sz w:val="18"/>
          <w:szCs w:val="18"/>
        </w:rPr>
        <w:t>desinflacionario</w:t>
      </w:r>
      <w:proofErr w:type="spellEnd"/>
      <w:r w:rsidRPr="001C219E">
        <w:rPr>
          <w:rFonts w:ascii="Arial" w:hAnsi="Arial" w:cs="Arial"/>
          <w:sz w:val="18"/>
          <w:szCs w:val="18"/>
        </w:rPr>
        <w:t xml:space="preserve">, no obstante, señaló que mantendrá prudencia en la conducción de la política monetaria ante la persistencia del componente de servicios que incide en la inflación subyacente. Al cierre del primer trimestre de 2024, la percepción de riesgo país en México, medido por el EMBI+, se mantuvo prácticamente sin cambios y por debajo del promedio de 2023 (187 puntos). Este comportamiento contrastó con el incremento observado en otras economías pares, en el mismo periodo, como Sudáfrica, Brasil, Perú y Colombia de 53, 15, 4 y 4 puntos, respectivamente. </w:t>
      </w:r>
    </w:p>
    <w:p w14:paraId="241F42A9"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el mercado de renta fija, se observaron disminuciones en los nodos de corto plazo, mientras que los de mediano y largo plazo se incrementaron. Lo anterior, en línea con la reducción de la tasa de referencia y los ajustes esperados a la baja de la tasa de política monetaria de Banxico en 2024. Así, la pendiente de 10 y 2 años se mantuvo negativa, ubicándose en - 78 pb al 29 de marzo, mientras que el rendimiento de los bonos del Gobierno Federal en moneda nacional a 10 años se ubicó en 9.3%, lo cual reflejó un incremento de 33 pb en relación con el cierre del trimestre previo.</w:t>
      </w:r>
    </w:p>
    <w:p w14:paraId="4DCD9E2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Respecto al mercado de renta variable, el Índice de Precios y Cotizaciones (IPC) alcanzó un máximo histórico el 7 de febrero de 2024, al ubicarse en 58,712 unidades, en un entorno de mayor apetito por riesgo, tras darse a conocer datos económicos en EE.UU. y México, a la par que predominaron expectativas de una política monetaria menos restrictiva durante 2024. Sin embargo, en la segunda mitad del primer trimestre se observaron episodios de volatilidad ante reportes trimestrales mixtos de empresas locales y la expectativa de tasas más altas a lo previsto en los mercados de economías avanzadas. </w:t>
      </w:r>
    </w:p>
    <w:p w14:paraId="0C8367D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Así, al cierre del primer trimestre de 2024, el IPC se ubicó en 57,369 unidades, ligeramente por debajo del nivel observado al cierre del trimestre previo. Al interior, los sectores de salud, servicios financieros, consumo no básico y materiales presentaron incrementos respecto del trimestre previo en 25.0, 6.4, 3.1 y 3.0%, respectivamente, mientras que el sector industrial, consumo frecuente y telecomunicaciones registraron una caída de 9.6, 4.0 y 0.6%, respectivamente, en un entorno de menores utilidades y mayores costos de insumos. </w:t>
      </w:r>
    </w:p>
    <w:p w14:paraId="283248D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En febrero de 2024, con base en las últimas cifras disponibles, el crédito vigente al sector privado no financiero por parte de la banca comercial registró un incremento real de 0.5% con respecto a diciembre de 2023, con cifras ajustadas por estacionalidad. Al interior, destacó el crédito al consumo, el cual creció 0.9% real, apoyado por el rubro de tarjetas de crédito; mientras que el crédito al sector vivienda aumentó 0.4% real, a pesar de una reducción en el segmento de interés social. </w:t>
      </w:r>
    </w:p>
    <w:p w14:paraId="1109727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Por su parte, el crédito vigente a las empresas mostró una disminución real de 1.7% en el mismo periodo, con contracciones de 2.7, 1.6 y 1.6% en los sectores de industria manufacturera, construcción y agricultura, respectivamente. Por último, la banca mantuvo niveles elevados de capitalización y bajos índices de morosidad. En enero, el ICAP de la banca comercial se ubicó en 19.6%, cifra por encima del capital mínimo regulatorio de Basilea III de 10.5%, mientras que el IMOR al mismo mes se mantuvo en un nivel de 2.1%, similar al observado al cierre del trimestre previo y 1.1 </w:t>
      </w:r>
      <w:proofErr w:type="spellStart"/>
      <w:r w:rsidRPr="001C219E">
        <w:rPr>
          <w:rFonts w:ascii="Arial" w:hAnsi="Arial" w:cs="Arial"/>
          <w:sz w:val="18"/>
          <w:szCs w:val="18"/>
        </w:rPr>
        <w:t>pp</w:t>
      </w:r>
      <w:proofErr w:type="spellEnd"/>
      <w:r w:rsidRPr="001C219E">
        <w:rPr>
          <w:rFonts w:ascii="Arial" w:hAnsi="Arial" w:cs="Arial"/>
          <w:sz w:val="18"/>
          <w:szCs w:val="18"/>
        </w:rPr>
        <w:t xml:space="preserve"> por debajo del promedio observado en periodos de estrés previos, como 2008- 2009.</w:t>
      </w:r>
    </w:p>
    <w:p w14:paraId="32CA60E7"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6E5C3BB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La industria automotriz es una de las principales actividades en el Estado, debiéndose en buena medida su dinamismo a que las empresas instaladas son proveedoras o distribuidoras de Volkswagen de México. En el </w:t>
      </w:r>
      <w:r w:rsidRPr="001C219E">
        <w:rPr>
          <w:rFonts w:ascii="Arial" w:hAnsi="Arial" w:cs="Arial"/>
          <w:sz w:val="18"/>
          <w:szCs w:val="18"/>
        </w:rPr>
        <w:lastRenderedPageBreak/>
        <w:t>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4B87459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4F97E948"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7387F65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459ED97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79FD290D"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El Indicador Trimestral de la Actividad Económica Estatal (ITAEE), reveló para el caso de Tlaxcala que la variación trimestral de la actividad económica al cuarto trimestre de 2023 fue menor en un 1.2% a tasa anual respecto al mismo periodo de 2022; sin embargo, durante el cuarto trimestre de 2023 y con cifras ajustadas por estacionalidad, las entidades federativas que observaron los aumentos más importantes en su actividad económica, a tasa trimestral, fueron: Guanajuato, Veracruz de Ignacio de la Llave, Nuevo León, Michoacán de Ocampo, Jalisco y Tlaxcala.</w:t>
      </w:r>
    </w:p>
    <w:p w14:paraId="6DB12F8C"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Al considerar cifras desestacionalizadas, en el último trimestre de 2023, el PIB nacional registró una variación de 0.1 por ciento con respecto al tercer trimestre. De las 32 demarcaciones, 16 presentaron avances por arriba de esa tasa, encabezados por Guanajuato (2.6%), seguido por Veracruz, Nuevo León, Michoacán, Jalisco y Tlaxcala (todos ellos con 1.6%). En las otras 16 entidades se registraron contracciones, aunque las más profundas fueron las de Guerrero (-5.5%), Sinaloa (-5.3%) y San Luis Potosí (-3.5%).</w:t>
      </w:r>
    </w:p>
    <w:p w14:paraId="0307358A"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Al cierre del ejercicio 2023, el principal motor de las economías estatales fueron las actividades relacionadas con el mercado interno: en ese año, el ITAEE de las actividades terciarias creció en 31 entidades y sólo descendió en Querétaro (-2.9%); el de la construcción aumentó en 28 estados y cayó en cuatro. Sin embargo, los sectores1 asociados con la demanda externa fueron los más afectados; resalta que el ITAEE manufacturero avanzó en 13 estados y se contrajo en los 19 restantes. </w:t>
      </w:r>
    </w:p>
    <w:p w14:paraId="2626C6DC" w14:textId="744924E5"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 xml:space="preserve">Diversas expectativas apuntan que la economía del país se mantendrá en expansión en 2024, pero a un menor ritmo; el Fondo Monetario Internacional estima un crecimiento de 2.4 por ciento este año, que sería menor al 3.2 por ciento de 2023, mientras que la Organización para la Cooperación y el Desarrollo Económicos (OCDE) espera una tasa de 2.2 por ciento, de cumplirse estas proyecciones, la economía nacional acumularía cuatro años consecutivos en expansión. Ante la perspectiva de una moderación de la demanda externa, aquellas entidades con presencia de la industria manufacturera de exportación verán disminuido su dinamismo, aunque sería </w:t>
      </w:r>
      <w:r w:rsidRPr="001C219E">
        <w:rPr>
          <w:rFonts w:ascii="Arial" w:hAnsi="Arial" w:cs="Arial"/>
          <w:sz w:val="18"/>
          <w:szCs w:val="18"/>
        </w:rPr>
        <w:lastRenderedPageBreak/>
        <w:t>compensado por el buen desempeño de los determinantes del mercado interno, como el empleo, los salarios, las remesas familiares, el crédito y los programas sociales.</w:t>
      </w:r>
    </w:p>
    <w:p w14:paraId="14358761" w14:textId="528E69AA" w:rsidR="001C219E" w:rsidRPr="001C219E" w:rsidRDefault="001C219E" w:rsidP="001C219E">
      <w:pPr>
        <w:tabs>
          <w:tab w:val="left" w:pos="284"/>
        </w:tabs>
        <w:ind w:left="284"/>
        <w:jc w:val="center"/>
        <w:rPr>
          <w:rFonts w:ascii="Arial" w:hAnsi="Arial" w:cs="Arial"/>
          <w:sz w:val="18"/>
          <w:szCs w:val="18"/>
        </w:rPr>
      </w:pPr>
      <w:r w:rsidRPr="001C219E">
        <w:rPr>
          <w:rFonts w:ascii="Arial" w:hAnsi="Arial" w:cs="Arial"/>
          <w:noProof/>
          <w:sz w:val="18"/>
          <w:szCs w:val="18"/>
          <w:lang w:eastAsia="es-MX"/>
        </w:rPr>
        <w:drawing>
          <wp:inline distT="0" distB="0" distL="0" distR="0" wp14:anchorId="1BFC01C3" wp14:editId="7649C525">
            <wp:extent cx="4210192" cy="3688715"/>
            <wp:effectExtent l="0" t="0" r="0" b="6985"/>
            <wp:docPr id="183571369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9167" t="20627" r="30585" b="6474"/>
                    <a:stretch>
                      <a:fillRect/>
                    </a:stretch>
                  </pic:blipFill>
                  <pic:spPr bwMode="auto">
                    <a:xfrm>
                      <a:off x="0" y="0"/>
                      <a:ext cx="4225790" cy="3702381"/>
                    </a:xfrm>
                    <a:prstGeom prst="rect">
                      <a:avLst/>
                    </a:prstGeom>
                    <a:noFill/>
                    <a:ln>
                      <a:noFill/>
                    </a:ln>
                  </pic:spPr>
                </pic:pic>
              </a:graphicData>
            </a:graphic>
          </wp:inline>
        </w:drawing>
      </w:r>
    </w:p>
    <w:p w14:paraId="1D5EA9DC" w14:textId="21BE3064" w:rsidR="001C219E" w:rsidRPr="001C219E" w:rsidRDefault="004D47D0" w:rsidP="001C219E">
      <w:pPr>
        <w:tabs>
          <w:tab w:val="left" w:pos="284"/>
        </w:tabs>
        <w:ind w:left="284"/>
        <w:jc w:val="both"/>
        <w:rPr>
          <w:rFonts w:ascii="Arial" w:hAnsi="Arial" w:cs="Arial"/>
          <w:sz w:val="18"/>
          <w:szCs w:val="18"/>
        </w:rPr>
      </w:pPr>
      <w:r w:rsidRPr="001C219E">
        <w:rPr>
          <w:rFonts w:ascii="Arial" w:hAnsi="Arial" w:cs="Arial"/>
          <w:noProof/>
          <w:sz w:val="18"/>
          <w:szCs w:val="18"/>
          <w:lang w:eastAsia="es-MX"/>
        </w:rPr>
        <w:drawing>
          <wp:anchor distT="0" distB="0" distL="114300" distR="114300" simplePos="0" relativeHeight="251668480" behindDoc="0" locked="0" layoutInCell="1" allowOverlap="1" wp14:anchorId="728BA285" wp14:editId="3EDFD47F">
            <wp:simplePos x="0" y="0"/>
            <wp:positionH relativeFrom="column">
              <wp:posOffset>612140</wp:posOffset>
            </wp:positionH>
            <wp:positionV relativeFrom="paragraph">
              <wp:posOffset>456896</wp:posOffset>
            </wp:positionV>
            <wp:extent cx="5127796" cy="3713259"/>
            <wp:effectExtent l="0" t="0" r="0" b="1905"/>
            <wp:wrapNone/>
            <wp:docPr id="17185826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27396" t="25298" r="24954" b="6367"/>
                    <a:stretch>
                      <a:fillRect/>
                    </a:stretch>
                  </pic:blipFill>
                  <pic:spPr bwMode="auto">
                    <a:xfrm>
                      <a:off x="0" y="0"/>
                      <a:ext cx="5127796" cy="3713259"/>
                    </a:xfrm>
                    <a:prstGeom prst="rect">
                      <a:avLst/>
                    </a:prstGeom>
                    <a:noFill/>
                    <a:ln>
                      <a:noFill/>
                    </a:ln>
                  </pic:spPr>
                </pic:pic>
              </a:graphicData>
            </a:graphic>
            <wp14:sizeRelH relativeFrom="page">
              <wp14:pctWidth>0</wp14:pctWidth>
            </wp14:sizeRelH>
            <wp14:sizeRelV relativeFrom="page">
              <wp14:pctHeight>0</wp14:pctHeight>
            </wp14:sizeRelV>
          </wp:anchor>
        </w:drawing>
      </w:r>
      <w:r w:rsidR="001C219E" w:rsidRPr="001C219E">
        <w:rPr>
          <w:rFonts w:ascii="Arial" w:hAnsi="Arial" w:cs="Arial"/>
          <w:sz w:val="18"/>
          <w:szCs w:val="18"/>
        </w:rPr>
        <w:t>Al mes de febrero de 2024 la tasa de ocupación reflejó una participación del 1% al total nacional, presentando un incremento de 1,060, puestos de trabajo permanentes respecto a diciembre de 2023. Al mes de mayo de 2024, se tienen registrados 118,131 trabajadores asegurados en el IMSS, tal y como se muestra en los cuadros siguientes:</w:t>
      </w:r>
    </w:p>
    <w:p w14:paraId="53A71019" w14:textId="7195FAAA" w:rsidR="001C219E" w:rsidRPr="001C219E" w:rsidRDefault="001C219E" w:rsidP="001C219E">
      <w:pPr>
        <w:tabs>
          <w:tab w:val="left" w:pos="284"/>
        </w:tabs>
        <w:ind w:left="284"/>
        <w:jc w:val="center"/>
        <w:rPr>
          <w:rFonts w:ascii="Arial" w:hAnsi="Arial" w:cs="Arial"/>
          <w:sz w:val="18"/>
          <w:szCs w:val="18"/>
        </w:rPr>
      </w:pPr>
    </w:p>
    <w:p w14:paraId="5C1C1365" w14:textId="4F611026"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noProof/>
          <w:sz w:val="18"/>
          <w:szCs w:val="18"/>
          <w:lang w:eastAsia="es-MX"/>
        </w:rPr>
        <w:lastRenderedPageBreak/>
        <w:drawing>
          <wp:inline distT="0" distB="0" distL="0" distR="0" wp14:anchorId="7A3CD455" wp14:editId="37EEC35E">
            <wp:extent cx="5943600" cy="4335780"/>
            <wp:effectExtent l="0" t="0" r="0" b="7620"/>
            <wp:docPr id="1567186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21094" t="20107" r="22221" b="6367"/>
                    <a:stretch>
                      <a:fillRect/>
                    </a:stretch>
                  </pic:blipFill>
                  <pic:spPr bwMode="auto">
                    <a:xfrm>
                      <a:off x="0" y="0"/>
                      <a:ext cx="5943600" cy="4335780"/>
                    </a:xfrm>
                    <a:prstGeom prst="rect">
                      <a:avLst/>
                    </a:prstGeom>
                    <a:noFill/>
                    <a:ln>
                      <a:noFill/>
                    </a:ln>
                  </pic:spPr>
                </pic:pic>
              </a:graphicData>
            </a:graphic>
          </wp:inline>
        </w:drawing>
      </w:r>
      <w:r w:rsidRPr="001C219E">
        <w:rPr>
          <w:rFonts w:ascii="Arial" w:hAnsi="Arial" w:cs="Arial"/>
          <w:sz w:val="18"/>
          <w:szCs w:val="18"/>
        </w:rPr>
        <w:t>De acuerdo al Directorio Estadístico Nacional de Unidades Económicas, Tlaxcala cuenta con 83,021 Unidades Económicas al mes de julio de 2024, en los rubros siguientes:</w:t>
      </w:r>
    </w:p>
    <w:p w14:paraId="588E5E7E" w14:textId="5D2068CE" w:rsidR="001C219E" w:rsidRPr="001C219E" w:rsidRDefault="001C219E" w:rsidP="001C219E">
      <w:pPr>
        <w:tabs>
          <w:tab w:val="left" w:pos="284"/>
        </w:tabs>
        <w:ind w:left="284"/>
        <w:jc w:val="center"/>
        <w:rPr>
          <w:rFonts w:ascii="Arial" w:hAnsi="Arial" w:cs="Arial"/>
          <w:sz w:val="18"/>
          <w:szCs w:val="18"/>
        </w:rPr>
      </w:pPr>
      <w:r w:rsidRPr="001C219E">
        <w:rPr>
          <w:rFonts w:ascii="Arial" w:hAnsi="Arial" w:cs="Arial"/>
          <w:noProof/>
          <w:sz w:val="18"/>
          <w:szCs w:val="18"/>
          <w:lang w:eastAsia="es-MX"/>
        </w:rPr>
        <w:drawing>
          <wp:inline distT="0" distB="0" distL="0" distR="0" wp14:anchorId="0AAAB28C" wp14:editId="09EF130B">
            <wp:extent cx="3783724" cy="3404870"/>
            <wp:effectExtent l="0" t="0" r="7620" b="5080"/>
            <wp:docPr id="7238701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779" cy="3434616"/>
                    </a:xfrm>
                    <a:prstGeom prst="rect">
                      <a:avLst/>
                    </a:prstGeom>
                    <a:noFill/>
                    <a:ln>
                      <a:noFill/>
                    </a:ln>
                  </pic:spPr>
                </pic:pic>
              </a:graphicData>
            </a:graphic>
          </wp:inline>
        </w:drawing>
      </w:r>
    </w:p>
    <w:p w14:paraId="68CBFFCE"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FUENTE: INEGI. DENUE. Julio 2024.</w:t>
      </w:r>
    </w:p>
    <w:p w14:paraId="21754C15"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Lo que representa una participación del 1% del Estado en el total nacional. Al primer trimestre de 2024 la Población Económicamente Activa (PEA) ascendió a 671,439 personas, representando el 61% de la población en edad de trabajar. Del total de la PEA, el 97% está ocupada y el 3% se encuentra desocupada.</w:t>
      </w:r>
    </w:p>
    <w:p w14:paraId="5FE0B494" w14:textId="60478DE0"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noProof/>
          <w:sz w:val="18"/>
          <w:szCs w:val="18"/>
          <w:lang w:eastAsia="es-MX"/>
        </w:rPr>
        <w:drawing>
          <wp:inline distT="0" distB="0" distL="0" distR="0" wp14:anchorId="51906D77" wp14:editId="44689B0C">
            <wp:extent cx="5659820" cy="3326130"/>
            <wp:effectExtent l="0" t="0" r="0" b="7620"/>
            <wp:docPr id="16790272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23357" t="24295" r="24356" b="4855"/>
                    <a:stretch>
                      <a:fillRect/>
                    </a:stretch>
                  </pic:blipFill>
                  <pic:spPr bwMode="auto">
                    <a:xfrm>
                      <a:off x="0" y="0"/>
                      <a:ext cx="5681245" cy="3338721"/>
                    </a:xfrm>
                    <a:prstGeom prst="rect">
                      <a:avLst/>
                    </a:prstGeom>
                    <a:noFill/>
                    <a:ln>
                      <a:noFill/>
                    </a:ln>
                  </pic:spPr>
                </pic:pic>
              </a:graphicData>
            </a:graphic>
          </wp:inline>
        </w:drawing>
      </w:r>
    </w:p>
    <w:p w14:paraId="23471ED3" w14:textId="2BE7F20A"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Al cuarto trimestre de 2023, la Inversión Extranjera Directa Acumulada del año 2006 al mes de marzo de 2024 en el Estado de Tlaxcala fue de 3,246.9 millones de dólares, lo que representó un aporte del 0.6% al total nacional, instalándose empresas de diversas nacionalidades en el país, tal y como se observa en el cuadro comparativo siguiente:</w:t>
      </w:r>
      <w:r w:rsidRPr="001C219E">
        <w:rPr>
          <w:rFonts w:ascii="Arial" w:hAnsi="Arial" w:cs="Arial"/>
          <w:noProof/>
          <w:sz w:val="18"/>
          <w:szCs w:val="18"/>
          <w:lang w:eastAsia="es-MX"/>
        </w:rPr>
        <w:drawing>
          <wp:inline distT="0" distB="0" distL="0" distR="0" wp14:anchorId="2CC44872" wp14:editId="4C03A763">
            <wp:extent cx="5943600" cy="3831021"/>
            <wp:effectExtent l="0" t="0" r="0" b="0"/>
            <wp:docPr id="13515813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8595" cy="3840686"/>
                    </a:xfrm>
                    <a:prstGeom prst="rect">
                      <a:avLst/>
                    </a:prstGeom>
                    <a:noFill/>
                    <a:ln>
                      <a:noFill/>
                    </a:ln>
                  </pic:spPr>
                </pic:pic>
              </a:graphicData>
            </a:graphic>
          </wp:inline>
        </w:drawing>
      </w:r>
    </w:p>
    <w:p w14:paraId="7A765A4B"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lastRenderedPageBreak/>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37229A14"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319DCB0" w14:textId="77777777" w:rsidR="001C219E" w:rsidRPr="001C219E" w:rsidRDefault="001C219E" w:rsidP="001C219E">
      <w:pPr>
        <w:tabs>
          <w:tab w:val="left" w:pos="284"/>
        </w:tabs>
        <w:ind w:left="284"/>
        <w:jc w:val="both"/>
        <w:rPr>
          <w:rFonts w:ascii="Arial" w:hAnsi="Arial" w:cs="Arial"/>
          <w:sz w:val="18"/>
          <w:szCs w:val="18"/>
        </w:rPr>
      </w:pPr>
      <w:r w:rsidRPr="001C219E">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w:t>
      </w:r>
      <w:r>
        <w:rPr>
          <w:rFonts w:ascii="Arial" w:hAnsi="Arial" w:cs="Arial"/>
          <w:sz w:val="18"/>
          <w:szCs w:val="18"/>
        </w:rPr>
        <w:lastRenderedPageBreak/>
        <w:t>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42171B8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w:t>
      </w:r>
      <w:r>
        <w:rPr>
          <w:rFonts w:ascii="Arial" w:hAnsi="Arial" w:cs="Arial"/>
          <w:sz w:val="18"/>
          <w:szCs w:val="18"/>
        </w:rPr>
        <w:lastRenderedPageBreak/>
        <w:t>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3724310"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12CC789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01A6B38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 Nuevas reglas de disciplina financiera que contemplan mecanismos de equilibrio presupuestario y de distribución de ingresos excedentes;</w:t>
      </w:r>
    </w:p>
    <w:p w14:paraId="1F332E1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097C1D9F"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1BCA941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4CAB007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1A8E7D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Pr>
          <w:rFonts w:ascii="Arial" w:hAnsi="Arial" w:cs="Arial"/>
          <w:sz w:val="18"/>
          <w:szCs w:val="18"/>
        </w:rPr>
        <w:t>Pidiregas</w:t>
      </w:r>
      <w:proofErr w:type="spellEnd"/>
      <w:r>
        <w:rPr>
          <w:rFonts w:ascii="Arial" w:hAnsi="Arial" w:cs="Arial"/>
          <w:sz w:val="18"/>
          <w:szCs w:val="18"/>
        </w:rPr>
        <w:t>, las obligaciones derivadas del entonces Fideicomiso de Apoyo para el Rescate de Autopistas Concesionadas (FARAC), hoy Fondo Nacional de Infraestructura (</w:t>
      </w:r>
      <w:proofErr w:type="spellStart"/>
      <w:r>
        <w:rPr>
          <w:rFonts w:ascii="Arial" w:hAnsi="Arial" w:cs="Arial"/>
          <w:sz w:val="18"/>
          <w:szCs w:val="18"/>
        </w:rPr>
        <w:t>Fonadin</w:t>
      </w:r>
      <w:proofErr w:type="spellEnd"/>
      <w:r>
        <w:rPr>
          <w:rFonts w:ascii="Arial" w:hAnsi="Arial" w:cs="Arial"/>
          <w:sz w:val="18"/>
          <w:szCs w:val="18"/>
        </w:rPr>
        <w:t>); y el patrimonio de las Instituciones de Fomento.</w:t>
      </w:r>
    </w:p>
    <w:p w14:paraId="757B22C7"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Durante el primer trimestre del 2024, la política de deuda pública mantuvo como estrategia financiar las necesidades de recursos del Gobierno Federal con preferencia en el mercado interno de largo plazo y tasa fija. Asimismo, se realizaron operaciones de manejo de pasivos para mejorar el perfil de vencimientos de la deuda, además de ejecutar estrategias de cobertura para reducir la exposición y volatilidad del portafolio de deuda. De igual manera, se continúa con el desarrollo de las referencias y la curva de rendimiento, tanto en el mercado interno, como externo, así como en el financiamiento sostenible</w:t>
      </w:r>
    </w:p>
    <w:p w14:paraId="58BE9497"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El mercado interno se mantiene como la principal fuente de financiamiento del Gobierno Federal. Se ha buscado fortalecer la figura de formadores de Mercado de Bonos y </w:t>
      </w:r>
      <w:proofErr w:type="spellStart"/>
      <w:r>
        <w:rPr>
          <w:rFonts w:ascii="Arial" w:hAnsi="Arial" w:cs="Arial"/>
          <w:sz w:val="18"/>
          <w:szCs w:val="18"/>
        </w:rPr>
        <w:t>Udibonos</w:t>
      </w:r>
      <w:proofErr w:type="spellEnd"/>
      <w:r>
        <w:rPr>
          <w:rFonts w:ascii="Arial" w:hAnsi="Arial" w:cs="Arial"/>
          <w:sz w:val="18"/>
          <w:szCs w:val="18"/>
        </w:rPr>
        <w:t xml:space="preserve"> para incentivar la liquidez. El 17 de enero, se operó el primer intercambio de valores gubernamentales, al retirar un monto de 110 mil millones de pesos de vencimientos de 2024. Además, el 2 de febrero se efectuó un intercambio de valores gubernamentales, donde se retiraron 44 mil 894 millones de pesos con vencimientos en 2024. El 8 de marzo se realizó una operación sindicada de Bondes G por un monto de 20 mil millones de pesos. Por último, el 17 de marzo se emitió una operación sindicada de Udibono de 10 años, por un monto de 1 mil 800 millones de </w:t>
      </w:r>
      <w:proofErr w:type="spellStart"/>
      <w:r>
        <w:rPr>
          <w:rFonts w:ascii="Arial" w:hAnsi="Arial" w:cs="Arial"/>
          <w:sz w:val="18"/>
          <w:szCs w:val="18"/>
        </w:rPr>
        <w:t>Udis</w:t>
      </w:r>
      <w:proofErr w:type="spellEnd"/>
      <w:r>
        <w:rPr>
          <w:rFonts w:ascii="Arial" w:hAnsi="Arial" w:cs="Arial"/>
          <w:sz w:val="18"/>
          <w:szCs w:val="18"/>
        </w:rPr>
        <w:t xml:space="preserve">. </w:t>
      </w:r>
    </w:p>
    <w:p w14:paraId="0899DE0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Estas operaciones mejoraron el perfil de vencimiento del portafolio de la deuda del Gobierno Federal y redujeron los pagos de deuda interna programados para 2024. En cuanto al mercado externo, se mantiene como fuente complementaria de financiamiento, cuando las condiciones sean favorables. El objetivo es mantener un portafolio </w:t>
      </w:r>
      <w:r>
        <w:rPr>
          <w:rFonts w:ascii="Arial" w:hAnsi="Arial" w:cs="Arial"/>
          <w:sz w:val="18"/>
          <w:szCs w:val="18"/>
        </w:rPr>
        <w:lastRenderedPageBreak/>
        <w:t>que pueda mitigar el impacto de choques externos, por ello, se adoptó una postura más defensiva con los ejercicios de manejo de pasivos. El 2 de enero, se inauguraron las emisiones de deuda en los mercados financieros internacionales para América Latina y el resto de economías emergentes, al realizarse la primera colocación del año por 7 mil 500 millones de dólares. Esta operación mejoró la liquidez y eficiencia de la curva de rendimiento. Adicionalmente, el 18 de enero se colocó un Bono Sostenible por un monto de 2 mil millones de euros; esta operación es la emisión sostenible con mayor demanda en este mercado, con ella se completa el desarrollo de la curva sostenible en este mercado. Cabe mencionar que, todas las colocaciones de deuda se enmarcaron en el Plan Anual de Financiamiento, son congruentes con la Ley Federal de Deuda Pública y están en línea con los techos de endeudamiento aprobados por el H. Congreso de la Unión para el ejercicio fiscal 2024.</w:t>
      </w:r>
    </w:p>
    <w:p w14:paraId="512DDF0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Al primer trimestre de 2024, la deuda neta del Gobierno Federal se ubicó en 13 billones 375 mil 500.7 millones de pesos. La estructura del portafolio de la deuda mantuvo la mayor parte de sus pasivos denominados en moneda nacional, representando, al 31 de marzo de 2024, el 84.0% del saldo de la deuda neta del Gobierno Federal.</w:t>
      </w:r>
    </w:p>
    <w:p w14:paraId="64BA8635"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cierre del primer trimestre de 2024, el saldo de la deuda interna neta del Gobierno Federal ascendió a 11 billones 238 mil 710.4 millones de pesos. La variación del saldo de la deuda interna respecto del cierre de 2023 fue el resultado de: </w:t>
      </w:r>
    </w:p>
    <w:p w14:paraId="5071593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701 mil 560.5 millones de pesos; </w:t>
      </w:r>
    </w:p>
    <w:p w14:paraId="7629C4E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 Un incremento en las disponibilidades del Gobierno Federal por 219 mil 734.9 millones de pesos; y, </w:t>
      </w:r>
    </w:p>
    <w:p w14:paraId="45FFC9C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iii) Ajustes contables positivos por 57 mil 338.1 millones de pesos, derivados del efecto inflacionario de la deuda interna indizada y del ajuste por las operaciones de permuta de deuda. </w:t>
      </w:r>
    </w:p>
    <w:p w14:paraId="0D4C9C7A"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Este desempeño fue congruente con el techo de endeudamiento interno neto aprobado por el H. Congreso de la Unión para 2024. En cuanto a la composición de la deuda interna del Gobierno Federal, al cierre del primer trimestre de 2024, el 47.4% se encontró contratada en instrumentos a tasa nominal fija y de largo plazo.</w:t>
      </w:r>
    </w:p>
    <w:p w14:paraId="71210FE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Adicionalmente, y como resultado de la colocación de instrumentos a largo plazo, se observó una participación de 77.1% de los valores a tasa fija nominal y real a plazo mayor de un año en el saldo de valores gubernamentales al cierre del primer trimestre de 2024. Por su parte, el plazo promedio de vencimiento de valores gubernamentales emitidos en el mercado local a marzo de 2024 fue de 7.8 años.</w:t>
      </w:r>
    </w:p>
    <w:p w14:paraId="52647F0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Con respecto al perfil de amortizaciones de la deuda interna del Gobierno Federal, de acuerdo con su saldo contractual registrado al 31 de marzo de 2024, se espera que, durante el resto del año (abril a diciembre de 2024), las amortizaciones alcancen un monto de 1 billón 846 mil 551 millones de pesos. Del total de amortizaciones, 893 mil 342.9 millones de pesos sin incluir Cetes, se encuentran asociadas a los vencimientos de valores gubernamentales, cuyo refinanciamiento se realizará a través del programa de subastas que lleva a cabo el Gobierno Federal.</w:t>
      </w:r>
    </w:p>
    <w:p w14:paraId="7469ED6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cierre del primer trimestre de 2024, el saldo de la deuda externa neta del Gobierno Federal fue de 127 mil 927 millones de dólares. La evolución de la deuda externa neta del Gobierno Federal durante el periodo enero a marzo de 2024 fue resultado de los siguientes factores: </w:t>
      </w:r>
    </w:p>
    <w:p w14:paraId="4388FBA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Endeudamiento externo neto de 10 mil 422.3 millones de dólares, derivado de disposiciones por 11 mil 150.2 millones de dólares y amortizaciones por 727.9 millones de dólares. </w:t>
      </w:r>
    </w:p>
    <w:p w14:paraId="27D902F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Incremento de los activos internacionales del Gobierno Federal asociados a la deuda externa por 296.2 millones de dólares con respecto al cierre de 2023. Este cambio se debe a la variación en el saldo neto denominado en dólares de la Cuenta General de la Tesorería de la Federación. </w:t>
      </w:r>
    </w:p>
    <w:p w14:paraId="5B1F5071"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Ajustes contables negativos por 1 mil 43.7 millones de dólares, derivados principalmente de la variación del dólar con respecto a otras monedas en las que se encuentra contratada la deuda.</w:t>
      </w:r>
    </w:p>
    <w:p w14:paraId="3CBD98D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respecto al perfil de amortizaciones de la deuda externa del Gobierno Federal, con base en su saldo contractual al 31 de marzo de 2024, se espera que, las amortizaciones durante el resto del año (abril a diciembre </w:t>
      </w:r>
      <w:r>
        <w:rPr>
          <w:rFonts w:ascii="Arial" w:hAnsi="Arial" w:cs="Arial"/>
          <w:sz w:val="18"/>
          <w:szCs w:val="18"/>
        </w:rPr>
        <w:lastRenderedPageBreak/>
        <w:t>de 2024), sean por 2 mil 492.8 millones de dólares, los cuales se encuentran asociados, principalmente, a los vencimientos de créditos contratados con los Organismos Financieros Internacionales (</w:t>
      </w:r>
      <w:proofErr w:type="spellStart"/>
      <w:r>
        <w:rPr>
          <w:rFonts w:ascii="Arial" w:hAnsi="Arial" w:cs="Arial"/>
          <w:sz w:val="18"/>
          <w:szCs w:val="18"/>
        </w:rPr>
        <w:t>OFIs</w:t>
      </w:r>
      <w:proofErr w:type="spellEnd"/>
      <w:r>
        <w:rPr>
          <w:rFonts w:ascii="Arial" w:hAnsi="Arial" w:cs="Arial"/>
          <w:sz w:val="18"/>
          <w:szCs w:val="18"/>
        </w:rPr>
        <w:t>).</w:t>
      </w:r>
    </w:p>
    <w:p w14:paraId="262BA37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El 18 de enero se colocó un Bono Sostenible por un monto de 2 mil millones de euros a un plazo de 8 años, con una tasa cupón del 4.49%. Esta operación es la emisión sostenible con mayor demanda en el mercado de euros y con ella se completa el desarrollo de la curva sostenible a corto, mediano y largo plazo en euros. La emisión se basó en la lista de Gastos Elegibles de 2024, acorde con estándares internacionales y las mejores prácticas. Con esta emisión el Gobierno de México reafirmó su liderazgo y compromiso con las finanzas sostenibles. El Gobierno Federal mantiene el crédito externo como una fuente de financiamiento complementaria y busca acceder a los mercados financieros internacionales únicamente cuando las condiciones sean favorables.</w:t>
      </w:r>
    </w:p>
    <w:p w14:paraId="32F91E10"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Durante el primer trimestre de 2024, el Gobierno Federal realizó erogaciones por concepto de costo financiero neto total de su deuda por 184 mil 796.9 millones de pesos (Ramo 24). Esta cifra comprende erogaciones por 151 mil 410.3 millones de pesos para el pago de intereses y gastos asociados a la deuda interna, la cual incluye un monto de 3 mil 748.3 millones de pesos para el pago anticipado de intereses derivados del intercambio de deuda a través de las operaciones de permuta de deuda, así como erogaciones por un monto de 1 mil 949.5 millones de dólares para cubrir el pago por concepto de intereses, comisiones y gastos asociados principalmente a la deuda externa.</w:t>
      </w:r>
    </w:p>
    <w:p w14:paraId="03ABE1A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La estrategia de gestión del portafolio de deuda ha priorizado la contratación de financiamiento en el mercado interno, a tasas de interés fijas y de largo plazo. Asimismo, se lleva a cabo una gestión de riesgos, mediante la diversificación del portafolio de deuda y la implementación del programa de coberturas. Lo anterior, mantiene acotada la sensibilidad del costo financiero de la deuda ante aumentos en la tasa de interés, y mitiga la volatilidad en el servicio de la deuda, hechos que favorecen una posición sólida y sostenible del portafolio de deuda, tanto en el corto como en el largo plazo. Las tasas implícitas de costo financiero estimadas para 2024 fueron de 7.32, 7.48 y 6.43% para la deuda total, deuda interna y deuda externa, respectivamente.</w:t>
      </w:r>
    </w:p>
    <w:p w14:paraId="3E4189B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término del primer trimestre de 2024, el saldo de la deuda con garantía explícita del Gobierno Federal se ubicó en 324 mil 700.7 millones de pesos, monto superior en 5 mil 402.8 millones de pesos al observado al cierre del año anterior. Dentro de los Programas de Apoyo a Deudores se encontró el Programa de Reestructuración en </w:t>
      </w:r>
      <w:proofErr w:type="spellStart"/>
      <w:r>
        <w:rPr>
          <w:rFonts w:ascii="Arial" w:hAnsi="Arial" w:cs="Arial"/>
          <w:sz w:val="18"/>
          <w:szCs w:val="18"/>
        </w:rPr>
        <w:t>Udis</w:t>
      </w:r>
      <w:proofErr w:type="spellEnd"/>
      <w:r>
        <w:rPr>
          <w:rFonts w:ascii="Arial" w:hAnsi="Arial" w:cs="Arial"/>
          <w:sz w:val="18"/>
          <w:szCs w:val="18"/>
        </w:rPr>
        <w:t>, mediante el cual se ofrecieron tasas reales fijas a los acreditados durante toda la vida de sus créditos, lo que requirió que el Gobierno Federal realizara un intercambio entre esta tasa y una tasa nominal de mercado. Al 31 de marzo de 2024, el resultado preliminar de este intercambio ascendió a 29 mil 289.6 millones de pesos, mismos que no están incorporados en las obligaciones garantizadas reportadas por el Gobierno Federal, ya que su evolución futura es contingente al comportamiento de las tasas de interés.</w:t>
      </w:r>
    </w:p>
    <w:p w14:paraId="15555234"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cierre del primer trimestre de 2024, el monto de la deuda neta del Sector Público Federal (Gobierno Federal, Empresas Productivas del Estado y la banca de desarrollo), se situó en 15 billones 448 mil 423.8 millones de pesos. Al finalizar el primer trimestre de 2024, el saldo de la deuda interna neta del Sector Público Federal se ubicó en 11 billones 773 mil 368.9 millones de pesos. La variación de este saldo al primer trimestre de 2024, respecto al cierre de 2023, fue el resultado de los siguientes factores: </w:t>
      </w:r>
    </w:p>
    <w:p w14:paraId="67D38F4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717 mil 704.5 millones de pesos; </w:t>
      </w:r>
    </w:p>
    <w:p w14:paraId="7B9E563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 Una variación positiva en los activos internos del Sector Público Federal por 263 mil 362.7 millones de pesos y </w:t>
      </w:r>
    </w:p>
    <w:p w14:paraId="619407BA"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iii) Ajustes contables positivos por 60 mil 92.3 millones de pesos, que reflejaron, principalmente, el efecto inflacionario sobre los pasivos indizados a esta variable y operaciones de permuta de deuda. </w:t>
      </w:r>
    </w:p>
    <w:p w14:paraId="26FB3CB4"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Con base en el saldo contractual de la deuda interna del Sector Público Federal registrado al 31 de marzo de 2024, las amortizaciones durante el resto del año (abril a diciembre de 2024), serán de 2 billones 90 mil 764.4 millones de pesos. De este monto, el 92.5% se encuentra asociado a los vencimientos de valores colocados en los mercados nacionales.</w:t>
      </w:r>
    </w:p>
    <w:p w14:paraId="379683D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término del primer trimestre de 2024, el saldo de la deuda externa neta del Sector Público Federal se ubicó en 220 mil 21 millones de dólares. La evolución de la deuda externa neta del Sector Público Federal fue resultado de los siguientes factores: </w:t>
      </w:r>
    </w:p>
    <w:p w14:paraId="3360685C"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Un endeudamiento externo neto de 8 mil 176.6 millones de dólares; </w:t>
      </w:r>
    </w:p>
    <w:p w14:paraId="149072D5"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lastRenderedPageBreak/>
        <w:t xml:space="preserve">ii) Los activos internacionales del Sector Público Federal asociados a la deuda externa presentaron una variación negativa de 24 millones de dólares, y </w:t>
      </w:r>
    </w:p>
    <w:p w14:paraId="722E026F"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iii) Ajustes contables negativos por 1 mil 256.1 millones de dólares, que reflejaron, principalmente, la variación del dólar con respecto a otras monedas en las que se encuentra contratada la deuda</w:t>
      </w:r>
    </w:p>
    <w:p w14:paraId="74B8CDBD"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base en el saldo contractual de la deuda externa del Sector Público Federal registrado al 31 de marzo de 2024, las amortizaciones durante el resto del año (abril a diciembre de 2024), sumarán un monto de 12 mil 446.7 millones de dólares. De esta cifra, 4.1% se encuentra asociado a las amortizaciones proyectadas de los vencimientos de deuda de mercado de capitales; 73.6% a créditos directos y pasivos </w:t>
      </w:r>
      <w:proofErr w:type="spellStart"/>
      <w:r>
        <w:rPr>
          <w:rFonts w:ascii="Arial" w:hAnsi="Arial" w:cs="Arial"/>
          <w:sz w:val="18"/>
          <w:szCs w:val="18"/>
        </w:rPr>
        <w:t>Pidiregas</w:t>
      </w:r>
      <w:proofErr w:type="spellEnd"/>
      <w:r>
        <w:rPr>
          <w:rFonts w:ascii="Arial" w:hAnsi="Arial" w:cs="Arial"/>
          <w:sz w:val="18"/>
          <w:szCs w:val="18"/>
        </w:rPr>
        <w:t xml:space="preserve">; y 22.3%, se refiere a las amortizaciones de líneas vinculadas al comercio exterior y a vencimientos de deuda con </w:t>
      </w:r>
      <w:proofErr w:type="spellStart"/>
      <w:r>
        <w:rPr>
          <w:rFonts w:ascii="Arial" w:hAnsi="Arial" w:cs="Arial"/>
          <w:sz w:val="18"/>
          <w:szCs w:val="18"/>
        </w:rPr>
        <w:t>OFIs</w:t>
      </w:r>
      <w:proofErr w:type="spellEnd"/>
      <w:r>
        <w:rPr>
          <w:rFonts w:ascii="Arial" w:hAnsi="Arial" w:cs="Arial"/>
          <w:sz w:val="18"/>
          <w:szCs w:val="18"/>
        </w:rPr>
        <w:t>.</w:t>
      </w:r>
    </w:p>
    <w:p w14:paraId="20592B4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De enero a marzo de 2024, el Sector Público Federal realizó erogaciones por concepto de costo financiero de su deuda pública interna por un monto de 168 mil 398.3 millones de pesos. Por otra parte, durante el mismo periodo se efectuaron erogaciones por un monto de 4 mil 424.3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41F4226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El SHRFSP agrupa la deuda neta del Sector Público presupuestario (Gobierno Federal y Entidades de control directo), las obligaciones netas del IPAB, los pasivos del </w:t>
      </w:r>
      <w:proofErr w:type="spellStart"/>
      <w:r>
        <w:rPr>
          <w:rFonts w:ascii="Arial" w:hAnsi="Arial" w:cs="Arial"/>
          <w:sz w:val="18"/>
          <w:szCs w:val="18"/>
        </w:rPr>
        <w:t>Fonadin</w:t>
      </w:r>
      <w:proofErr w:type="spellEnd"/>
      <w:r>
        <w:rPr>
          <w:rFonts w:ascii="Arial" w:hAnsi="Arial" w:cs="Arial"/>
          <w:sz w:val="18"/>
          <w:szCs w:val="18"/>
        </w:rPr>
        <w:t xml:space="preserve">, los asociados a los </w:t>
      </w:r>
      <w:proofErr w:type="spellStart"/>
      <w:r>
        <w:rPr>
          <w:rFonts w:ascii="Arial" w:hAnsi="Arial" w:cs="Arial"/>
          <w:sz w:val="18"/>
          <w:szCs w:val="18"/>
        </w:rPr>
        <w:t>Pidiregas</w:t>
      </w:r>
      <w:proofErr w:type="spellEnd"/>
      <w:r>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 </w:t>
      </w:r>
    </w:p>
    <w:p w14:paraId="6C1B104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Al cierre del primer trimestre de 2024, el SHRFSP se ubicó en 15 billones 434 mil 161.2 millones de pesos. Respecto al cierre de 2023, se incrementó en términos nominales por el efecto del endeudamiento neto, que fue aminorado por la apreciación del tipo de cambio. Así, el componente interno del SHRFSP se ubicó en 11 billones 802 mil 39.4 millones de pesos y el componente externo fue de 217 mil 450.7 millones de dólares.</w:t>
      </w:r>
    </w:p>
    <w:p w14:paraId="54946E5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que forman parte de la inversión física impulsada por el Sector Público, se agrupan en: i) los </w:t>
      </w:r>
      <w:proofErr w:type="spellStart"/>
      <w:r>
        <w:rPr>
          <w:rFonts w:ascii="Arial" w:hAnsi="Arial" w:cs="Arial"/>
          <w:sz w:val="18"/>
          <w:szCs w:val="18"/>
        </w:rPr>
        <w:t>Pidiregas</w:t>
      </w:r>
      <w:proofErr w:type="spellEnd"/>
      <w:r>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ii) aquellos proyectos propiedad del sector privado y que implican únicamente compromisos comerciales, salvo que se presenten causas de fuerza mayor que impliquen su adquisición por el Sector Público. </w:t>
      </w:r>
    </w:p>
    <w:p w14:paraId="5D5A7CB6"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el objeto de ampliar y mejorar la información relativa a los pasivos asociados a los proyectos de inversión financiada, se incluye información del pasivo de los proyectos </w:t>
      </w:r>
      <w:proofErr w:type="spellStart"/>
      <w:r>
        <w:rPr>
          <w:rFonts w:ascii="Arial" w:hAnsi="Arial" w:cs="Arial"/>
          <w:sz w:val="18"/>
          <w:szCs w:val="18"/>
        </w:rPr>
        <w:t>Pidiregas</w:t>
      </w:r>
      <w:proofErr w:type="spellEnd"/>
      <w:r>
        <w:rPr>
          <w:rFonts w:ascii="Arial" w:hAnsi="Arial" w:cs="Arial"/>
          <w:sz w:val="18"/>
          <w:szCs w:val="18"/>
        </w:rPr>
        <w:t xml:space="preserve"> que, de acuerdo con la normatividad aplicable, han sido recibidos a satisfacción por la CFE, reflejándose por lo tanto en sus registros contables. Cabe mencionar que, derivado del reconocimiento de los pasivos </w:t>
      </w:r>
      <w:proofErr w:type="spellStart"/>
      <w:r>
        <w:rPr>
          <w:rFonts w:ascii="Arial" w:hAnsi="Arial" w:cs="Arial"/>
          <w:sz w:val="18"/>
          <w:szCs w:val="18"/>
        </w:rPr>
        <w:t>Pidiregas</w:t>
      </w:r>
      <w:proofErr w:type="spellEnd"/>
      <w:r>
        <w:rPr>
          <w:rFonts w:ascii="Arial" w:hAnsi="Arial" w:cs="Arial"/>
          <w:sz w:val="18"/>
          <w:szCs w:val="18"/>
        </w:rPr>
        <w:t xml:space="preserve"> de Pemex como deuda directa en 2009, la única entidad que mantiene a la fecha este esquema es la CFE. </w:t>
      </w:r>
    </w:p>
    <w:p w14:paraId="0E4EC124"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7F74DBCE"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3C2534C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lastRenderedPageBreak/>
        <w:t xml:space="preserve">A fin de instrumentar la estrategia antes planteada, al igual que en los ejercicios fiscales de 2000 a 2023, el Ejecutivo Federal solicitó la asignación, en el Presupuesto de Egresos de la Federación para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2D3DB8E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Asimismo, en el artículo 2o. de la Ley de Ingresos de la Federación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4B138607"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Al 31 de marzo de 2024, la deuda neta del Instituto ascendió a 984 mil 410 millones de pesos, registrando una disminución en términos reales de 2.19% respecto a diciembre de 2023. Esta disminución se explica principalmente por una menor tasa real observada en el periodo. Por otra parte, el saldo de la deuda neta del Instituto al cierre del primer trimestre de 2024 representó el 3.03% del PIB, dato menor en 0.12 </w:t>
      </w:r>
      <w:proofErr w:type="spellStart"/>
      <w:r>
        <w:rPr>
          <w:rFonts w:ascii="Arial" w:hAnsi="Arial" w:cs="Arial"/>
          <w:sz w:val="18"/>
          <w:szCs w:val="18"/>
        </w:rPr>
        <w:t>pp</w:t>
      </w:r>
      <w:proofErr w:type="spellEnd"/>
      <w:r>
        <w:rPr>
          <w:rFonts w:ascii="Arial" w:hAnsi="Arial" w:cs="Arial"/>
          <w:sz w:val="18"/>
          <w:szCs w:val="18"/>
        </w:rPr>
        <w:t xml:space="preserve"> respecto al presentado al cierre del primer trimestre de 2023. </w:t>
      </w:r>
    </w:p>
    <w:p w14:paraId="58D59F8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En términos reales, el decremento de 0.12 </w:t>
      </w:r>
      <w:proofErr w:type="spellStart"/>
      <w:r>
        <w:rPr>
          <w:rFonts w:ascii="Arial" w:hAnsi="Arial" w:cs="Arial"/>
          <w:sz w:val="18"/>
          <w:szCs w:val="18"/>
        </w:rPr>
        <w:t>pp</w:t>
      </w:r>
      <w:proofErr w:type="spellEnd"/>
      <w:r>
        <w:rPr>
          <w:rFonts w:ascii="Arial" w:hAnsi="Arial" w:cs="Arial"/>
          <w:sz w:val="18"/>
          <w:szCs w:val="18"/>
        </w:rPr>
        <w:t xml:space="preserve"> se explica en 0.08 </w:t>
      </w:r>
      <w:proofErr w:type="spellStart"/>
      <w:r>
        <w:rPr>
          <w:rFonts w:ascii="Arial" w:hAnsi="Arial" w:cs="Arial"/>
          <w:sz w:val="18"/>
          <w:szCs w:val="18"/>
        </w:rPr>
        <w:t>pp</w:t>
      </w:r>
      <w:proofErr w:type="spellEnd"/>
      <w:r>
        <w:rPr>
          <w:rFonts w:ascii="Arial" w:hAnsi="Arial" w:cs="Arial"/>
          <w:sz w:val="18"/>
          <w:szCs w:val="18"/>
        </w:rPr>
        <w:t xml:space="preserve"> por el crecimiento estimado de la economía en términos reales de marzo de 2023 a marzo de 2024 y en 0.04 </w:t>
      </w:r>
      <w:proofErr w:type="spellStart"/>
      <w:r>
        <w:rPr>
          <w:rFonts w:ascii="Arial" w:hAnsi="Arial" w:cs="Arial"/>
          <w:sz w:val="18"/>
          <w:szCs w:val="18"/>
        </w:rPr>
        <w:t>pp</w:t>
      </w:r>
      <w:proofErr w:type="spellEnd"/>
      <w:r>
        <w:rPr>
          <w:rFonts w:ascii="Arial" w:hAnsi="Arial" w:cs="Arial"/>
          <w:sz w:val="18"/>
          <w:szCs w:val="18"/>
        </w:rPr>
        <w:t xml:space="preserve"> por el decrecimiento de la deuda del Instituto en términos reales.</w:t>
      </w:r>
    </w:p>
    <w:p w14:paraId="5D1B2CB8"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Al cierre del primer trimestre de 2024, el saldo de los activos totales del Instituto ascendió a 189 mil 930 millones de pesos, cifra que presentó un aumento de 1.61% en términos reales, respecto al cierre de diciembre de 2023. Cabe destacar que, el saldo del Fondo de Protección al Ahorro Bancario al cierre de marzo de 2024 ascendió a 91 mil 694 millones de pesos, lo que significó un incremento nominal de 5.25 y de 3.92% en términos reales respecto del mes de diciembre de 2023</w:t>
      </w:r>
    </w:p>
    <w:p w14:paraId="7B729C6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Durante el primer trimestre de 2024, se recibieron recursos en el Instituto por un total de 109 mil 405 millones de pesos. Dichos recursos se componen de: </w:t>
      </w:r>
    </w:p>
    <w:p w14:paraId="236A94CF"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 64 mil 700 millones de pesos correspondientes a operaciones de refinanciamiento a través de la colocación primaria y no competitiva de BPAS; </w:t>
      </w:r>
    </w:p>
    <w:p w14:paraId="65331D83"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 31 mil 245 millones de pesos por concepto del 50.0% de la aportación correspondiente del Ramo 34 del Programa de Apoyo a Ahorradores de la Banca; </w:t>
      </w:r>
    </w:p>
    <w:p w14:paraId="2031D98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iii) 8 mil 407 millones de pesos por concepto de Cuotas cobradas a las Instituciones de Banca Múltiple (IBM); </w:t>
      </w:r>
    </w:p>
    <w:p w14:paraId="6FB6609B"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iv) 5 mil 52 millones de pesos de intereses generados por la inversión de los activos líquidos del Instituto; y, </w:t>
      </w:r>
    </w:p>
    <w:p w14:paraId="4E39DBE9"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v) 0.4 millones de pesos por otros ingresos (recuperación a través de subrogación por Pago de Obligaciones Garantizadas -POG-, remanente de gasto de administración, ingresos por venta de activos, devoluciones de recursos no empleados al POG, traspaso de intereses por saldo en cuenta). </w:t>
      </w:r>
    </w:p>
    <w:p w14:paraId="1C904C7C"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Por su parte, los pagos realizados durante el mismo periodo ascendieron a 103 mil 943 millones de pesos, de los cuales 74 mil millones de pesos corresponden a la amortización de Bonos; 29 mil 860 millones de pesos al pago de intereses de dichos Bonos; 83 millones de pesos a pagos relacionados con gastos de administración del Instituto; 0.5 millones de pesos al POG y 0.1 millones de pesos relacionados a procesos de resolución.</w:t>
      </w:r>
    </w:p>
    <w:p w14:paraId="45C6412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 xml:space="preserve">Con estricto apego a la facultad de refinanciamiento del Instituto establecida en el artículo 2o. antes referido y, conforme al programa de subastas dado a conocer al público inversionista el 15 de diciembre de 2023, el Instituto colocó Bonos de Protección al Ahorro (BPAS o Bonos) a través del Banco de México como su agente financiero. Dado lo anterior, el IPAB colocó instrumentos por un monto nominal de 64 mil 59 millones de pesos, de los cuales 63 mil 700 millones de pesos corresponden a subastas primarias y 359 millones de pesos a asignaciones no competitivas a través de la plataforma de </w:t>
      </w:r>
      <w:proofErr w:type="spellStart"/>
      <w:r>
        <w:rPr>
          <w:rFonts w:ascii="Arial" w:hAnsi="Arial" w:cs="Arial"/>
          <w:sz w:val="18"/>
          <w:szCs w:val="18"/>
        </w:rPr>
        <w:t>Cetesdirecto</w:t>
      </w:r>
      <w:proofErr w:type="spellEnd"/>
      <w:r>
        <w:rPr>
          <w:rFonts w:ascii="Arial" w:hAnsi="Arial" w:cs="Arial"/>
          <w:sz w:val="18"/>
          <w:szCs w:val="18"/>
        </w:rPr>
        <w:t>; y amortizó emisiones primarias con un valor nominal de 74 mil millones de pesos, con lo cual se presentó una descolocación neta de 9 mil 941 millones de pesos. Las operaciones de refinanciamiento efectuadas durante el primer trimestre de 2024 contribuyeron con el objetivo estratégico del IPAB de hacer frente a sus obligaciones de pago de manera sostenible en el largo plazo.</w:t>
      </w:r>
    </w:p>
    <w:p w14:paraId="406779C2"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lastRenderedPageBreak/>
        <w:t>Al cierre del primer trimestre de 2024, el plazo promedio de los pasivos del Instituto fue de 2.70 años, dato 0.09 años mayor al observado en el primer trimestre de 2023 (2.61 años), debido a que el porcentaje de la deuda con plazo mayor a 5 años ha tenido un incremento. Por otra parte, el 26 de marzo de 2024, el IPAB dio a conocer al público inversionista las subastas primarias programadas a realizar durante el segundo trimestre de 2024; para el cual, mantuvo sin cambio el monto objetivo semanal a subastar respecto del primer trimestre de 2024,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6D64E3D0" w14:textId="77777777" w:rsidR="00FB4A59" w:rsidRDefault="00FB4A59" w:rsidP="00FB4A59">
      <w:pPr>
        <w:tabs>
          <w:tab w:val="left" w:pos="284"/>
        </w:tabs>
        <w:ind w:left="284"/>
        <w:jc w:val="both"/>
        <w:rPr>
          <w:rFonts w:ascii="Arial" w:hAnsi="Arial" w:cs="Arial"/>
          <w:sz w:val="18"/>
          <w:szCs w:val="18"/>
        </w:rPr>
      </w:pPr>
      <w:r>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segundo trimestre del ejercicio 2024 se continúa con un saldo de $0.00 de endeudamiento, manteniendo las finanzas del Gobierno del Estado sanas.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8DD9EB6" w14:textId="77777777" w:rsidR="00C904BE" w:rsidRDefault="00C904BE" w:rsidP="00420656">
      <w:pPr>
        <w:pStyle w:val="Texto"/>
        <w:spacing w:after="0" w:line="240" w:lineRule="exact"/>
        <w:rPr>
          <w:szCs w:val="18"/>
        </w:rPr>
      </w:pPr>
    </w:p>
    <w:p w14:paraId="70E0D260" w14:textId="77777777" w:rsidR="00C904BE" w:rsidRDefault="00C904BE" w:rsidP="00420656">
      <w:pPr>
        <w:pStyle w:val="Texto"/>
        <w:spacing w:after="0" w:line="240" w:lineRule="exact"/>
        <w:rPr>
          <w:szCs w:val="18"/>
        </w:rPr>
      </w:pPr>
    </w:p>
    <w:p w14:paraId="4B6C6ACE" w14:textId="77777777" w:rsidR="00C904BE" w:rsidRDefault="00C904BE" w:rsidP="00420656">
      <w:pPr>
        <w:pStyle w:val="Texto"/>
        <w:spacing w:after="0" w:line="240" w:lineRule="exact"/>
        <w:rPr>
          <w:szCs w:val="18"/>
        </w:rPr>
      </w:pPr>
    </w:p>
    <w:p w14:paraId="52C7AD58" w14:textId="77777777" w:rsidR="00C904BE" w:rsidRDefault="00C904BE" w:rsidP="00420656">
      <w:pPr>
        <w:pStyle w:val="Texto"/>
        <w:spacing w:after="0" w:line="240" w:lineRule="exact"/>
        <w:rPr>
          <w:szCs w:val="18"/>
        </w:rPr>
      </w:pPr>
    </w:p>
    <w:p w14:paraId="4C23C022" w14:textId="77777777" w:rsidR="00C904BE" w:rsidRDefault="00C904BE" w:rsidP="00420656">
      <w:pPr>
        <w:pStyle w:val="Texto"/>
        <w:spacing w:after="0" w:line="240" w:lineRule="exact"/>
        <w:rPr>
          <w:szCs w:val="18"/>
        </w:rPr>
      </w:pPr>
    </w:p>
    <w:p w14:paraId="056869B8" w14:textId="77777777" w:rsidR="00C904BE" w:rsidRDefault="00C904BE" w:rsidP="00420656">
      <w:pPr>
        <w:pStyle w:val="Texto"/>
        <w:spacing w:after="0" w:line="240" w:lineRule="exact"/>
        <w:rPr>
          <w:szCs w:val="18"/>
        </w:rPr>
      </w:pPr>
    </w:p>
    <w:p w14:paraId="214A1BAF" w14:textId="77777777" w:rsidR="00C904BE" w:rsidRDefault="00C904BE" w:rsidP="00420656">
      <w:pPr>
        <w:pStyle w:val="Texto"/>
        <w:spacing w:after="0" w:line="240" w:lineRule="exact"/>
        <w:rPr>
          <w:szCs w:val="18"/>
        </w:rPr>
      </w:pPr>
    </w:p>
    <w:p w14:paraId="3FEBF476" w14:textId="77777777" w:rsidR="00C904BE" w:rsidRDefault="00C904BE" w:rsidP="00420656">
      <w:pPr>
        <w:pStyle w:val="Texto"/>
        <w:spacing w:after="0" w:line="240" w:lineRule="exact"/>
        <w:rPr>
          <w:szCs w:val="18"/>
        </w:rPr>
      </w:pPr>
    </w:p>
    <w:p w14:paraId="6B99BBA6" w14:textId="77777777" w:rsidR="00C904BE" w:rsidRDefault="00C904BE" w:rsidP="00420656">
      <w:pPr>
        <w:pStyle w:val="Texto"/>
        <w:spacing w:after="0" w:line="240" w:lineRule="exact"/>
        <w:rPr>
          <w:szCs w:val="18"/>
        </w:rPr>
      </w:pPr>
    </w:p>
    <w:p w14:paraId="15C60CE9" w14:textId="77777777" w:rsidR="00C904BE" w:rsidRDefault="00C904BE" w:rsidP="00420656">
      <w:pPr>
        <w:pStyle w:val="Texto"/>
        <w:spacing w:after="0" w:line="240" w:lineRule="exact"/>
        <w:rPr>
          <w:szCs w:val="18"/>
        </w:rPr>
      </w:pPr>
    </w:p>
    <w:p w14:paraId="4FABEEC1" w14:textId="77777777" w:rsidR="00C904BE" w:rsidRDefault="00C904BE" w:rsidP="00420656">
      <w:pPr>
        <w:pStyle w:val="Texto"/>
        <w:spacing w:after="0" w:line="240" w:lineRule="exact"/>
        <w:rPr>
          <w:szCs w:val="18"/>
        </w:rPr>
      </w:pPr>
    </w:p>
    <w:p w14:paraId="3A4A3D15" w14:textId="77777777" w:rsidR="00C904BE" w:rsidRDefault="00C904BE" w:rsidP="00420656">
      <w:pPr>
        <w:pStyle w:val="Texto"/>
        <w:spacing w:after="0" w:line="240" w:lineRule="exact"/>
        <w:rPr>
          <w:szCs w:val="18"/>
        </w:rPr>
      </w:pPr>
    </w:p>
    <w:p w14:paraId="64BF84E9" w14:textId="77777777" w:rsidR="00C904BE" w:rsidRDefault="00C904BE" w:rsidP="00420656">
      <w:pPr>
        <w:pStyle w:val="Texto"/>
        <w:spacing w:after="0" w:line="240" w:lineRule="exact"/>
        <w:rPr>
          <w:szCs w:val="18"/>
        </w:rPr>
      </w:pPr>
    </w:p>
    <w:p w14:paraId="130FDD6A" w14:textId="77777777" w:rsidR="00C904BE" w:rsidRDefault="00C904BE" w:rsidP="00420656">
      <w:pPr>
        <w:pStyle w:val="Texto"/>
        <w:spacing w:after="0" w:line="240" w:lineRule="exact"/>
        <w:rPr>
          <w:szCs w:val="18"/>
        </w:rPr>
      </w:pPr>
    </w:p>
    <w:p w14:paraId="41D1EC6B" w14:textId="77777777" w:rsidR="00C904BE" w:rsidRDefault="00C904BE" w:rsidP="00420656">
      <w:pPr>
        <w:pStyle w:val="Texto"/>
        <w:spacing w:after="0" w:line="240" w:lineRule="exact"/>
        <w:rPr>
          <w:szCs w:val="18"/>
        </w:rPr>
      </w:pPr>
    </w:p>
    <w:p w14:paraId="7CD5CB8D" w14:textId="77777777" w:rsidR="00C904BE" w:rsidRDefault="00C904BE" w:rsidP="00420656">
      <w:pPr>
        <w:pStyle w:val="Texto"/>
        <w:spacing w:after="0" w:line="240" w:lineRule="exact"/>
        <w:rPr>
          <w:szCs w:val="18"/>
        </w:rPr>
      </w:pPr>
    </w:p>
    <w:p w14:paraId="563BB1E5" w14:textId="77777777" w:rsidR="00C904BE" w:rsidRDefault="00C904BE" w:rsidP="00420656">
      <w:pPr>
        <w:pStyle w:val="Texto"/>
        <w:spacing w:after="0" w:line="240" w:lineRule="exact"/>
        <w:rPr>
          <w:szCs w:val="18"/>
        </w:rPr>
      </w:pPr>
    </w:p>
    <w:p w14:paraId="516B3916" w14:textId="77777777" w:rsidR="00C904BE" w:rsidRDefault="00C904BE" w:rsidP="00420656">
      <w:pPr>
        <w:pStyle w:val="Texto"/>
        <w:spacing w:after="0" w:line="240" w:lineRule="exact"/>
        <w:rPr>
          <w:szCs w:val="18"/>
        </w:rPr>
      </w:pPr>
    </w:p>
    <w:p w14:paraId="734E493A" w14:textId="77777777" w:rsidR="00C904BE" w:rsidRDefault="00C904BE" w:rsidP="00420656">
      <w:pPr>
        <w:pStyle w:val="Texto"/>
        <w:spacing w:after="0" w:line="240" w:lineRule="exact"/>
        <w:rPr>
          <w:szCs w:val="18"/>
        </w:rPr>
      </w:pPr>
    </w:p>
    <w:p w14:paraId="57E26C2A" w14:textId="77777777" w:rsidR="00C904BE" w:rsidRPr="00661A17" w:rsidRDefault="00C904BE"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01D984F8"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178F1">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178F1">
        <w:rPr>
          <w:rFonts w:ascii="Arial" w:hAnsi="Arial" w:cs="Arial"/>
          <w:sz w:val="18"/>
          <w:szCs w:val="18"/>
        </w:rPr>
        <w:t>14</w:t>
      </w:r>
      <w:r>
        <w:rPr>
          <w:rFonts w:ascii="Arial" w:hAnsi="Arial" w:cs="Arial"/>
          <w:sz w:val="18"/>
          <w:szCs w:val="18"/>
        </w:rPr>
        <w:t>,</w:t>
      </w:r>
      <w:r w:rsidR="00A178F1">
        <w:rPr>
          <w:rFonts w:ascii="Arial" w:hAnsi="Arial" w:cs="Arial"/>
          <w:sz w:val="18"/>
          <w:szCs w:val="18"/>
        </w:rPr>
        <w:t>806</w:t>
      </w:r>
      <w:r>
        <w:rPr>
          <w:rFonts w:ascii="Arial" w:hAnsi="Arial" w:cs="Arial"/>
          <w:sz w:val="18"/>
          <w:szCs w:val="18"/>
        </w:rPr>
        <w:t>,</w:t>
      </w:r>
      <w:r w:rsidR="00A178F1">
        <w:rPr>
          <w:rFonts w:ascii="Arial" w:hAnsi="Arial" w:cs="Arial"/>
          <w:sz w:val="18"/>
          <w:szCs w:val="18"/>
        </w:rPr>
        <w:t>254</w:t>
      </w:r>
      <w:r>
        <w:rPr>
          <w:rFonts w:ascii="Arial" w:hAnsi="Arial" w:cs="Arial"/>
          <w:sz w:val="18"/>
          <w:szCs w:val="18"/>
        </w:rPr>
        <w:t>,</w:t>
      </w:r>
      <w:r w:rsidR="005D1457">
        <w:rPr>
          <w:rFonts w:ascii="Arial" w:hAnsi="Arial" w:cs="Arial"/>
          <w:sz w:val="18"/>
          <w:szCs w:val="18"/>
        </w:rPr>
        <w:t>21</w:t>
      </w:r>
      <w:r w:rsidR="00A178F1">
        <w:rPr>
          <w:rFonts w:ascii="Arial" w:hAnsi="Arial" w:cs="Arial"/>
          <w:sz w:val="18"/>
          <w:szCs w:val="18"/>
        </w:rPr>
        <w:t>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178F1">
        <w:rPr>
          <w:rFonts w:ascii="Arial" w:hAnsi="Arial" w:cs="Arial"/>
          <w:sz w:val="18"/>
          <w:szCs w:val="18"/>
        </w:rPr>
        <w:t>12</w:t>
      </w:r>
      <w:r>
        <w:rPr>
          <w:rFonts w:ascii="Arial" w:hAnsi="Arial" w:cs="Arial"/>
          <w:sz w:val="18"/>
          <w:szCs w:val="18"/>
        </w:rPr>
        <w:t>,</w:t>
      </w:r>
      <w:r w:rsidR="00A178F1">
        <w:rPr>
          <w:rFonts w:ascii="Arial" w:hAnsi="Arial" w:cs="Arial"/>
          <w:sz w:val="18"/>
          <w:szCs w:val="18"/>
        </w:rPr>
        <w:t>111</w:t>
      </w:r>
      <w:r>
        <w:rPr>
          <w:rFonts w:ascii="Arial" w:hAnsi="Arial" w:cs="Arial"/>
          <w:sz w:val="18"/>
          <w:szCs w:val="18"/>
        </w:rPr>
        <w:t>,</w:t>
      </w:r>
      <w:r w:rsidR="00A178F1">
        <w:rPr>
          <w:rFonts w:ascii="Arial" w:hAnsi="Arial" w:cs="Arial"/>
          <w:sz w:val="18"/>
          <w:szCs w:val="18"/>
        </w:rPr>
        <w:t>766</w:t>
      </w:r>
      <w:r>
        <w:rPr>
          <w:rFonts w:ascii="Arial" w:hAnsi="Arial" w:cs="Arial"/>
          <w:sz w:val="18"/>
          <w:szCs w:val="18"/>
        </w:rPr>
        <w:t>,</w:t>
      </w:r>
      <w:r w:rsidR="005D1457">
        <w:rPr>
          <w:rFonts w:ascii="Arial" w:hAnsi="Arial" w:cs="Arial"/>
          <w:sz w:val="18"/>
          <w:szCs w:val="18"/>
        </w:rPr>
        <w:t>3</w:t>
      </w:r>
      <w:r w:rsidR="00A178F1">
        <w:rPr>
          <w:rFonts w:ascii="Arial" w:hAnsi="Arial" w:cs="Arial"/>
          <w:sz w:val="18"/>
          <w:szCs w:val="18"/>
        </w:rPr>
        <w:t>80</w:t>
      </w:r>
      <w:r>
        <w:rPr>
          <w:rFonts w:ascii="Arial" w:hAnsi="Arial" w:cs="Arial"/>
          <w:sz w:val="18"/>
          <w:szCs w:val="18"/>
        </w:rPr>
        <w:t>; obteniéndose un remanente</w:t>
      </w:r>
      <w:r w:rsidRPr="0073056A">
        <w:rPr>
          <w:rFonts w:ascii="Arial" w:hAnsi="Arial" w:cs="Arial"/>
          <w:sz w:val="18"/>
          <w:szCs w:val="18"/>
        </w:rPr>
        <w:t xml:space="preserve"> en el </w:t>
      </w:r>
      <w:r w:rsidR="00A178F1">
        <w:rPr>
          <w:rFonts w:ascii="Arial" w:hAnsi="Arial" w:cs="Arial"/>
          <w:sz w:val="18"/>
          <w:szCs w:val="18"/>
        </w:rPr>
        <w:t>p</w:t>
      </w:r>
      <w:r>
        <w:rPr>
          <w:rFonts w:ascii="Arial" w:hAnsi="Arial" w:cs="Arial"/>
          <w:sz w:val="18"/>
          <w:szCs w:val="18"/>
        </w:rPr>
        <w:t>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178F1">
        <w:rPr>
          <w:rFonts w:ascii="Arial" w:hAnsi="Arial" w:cs="Arial"/>
          <w:sz w:val="18"/>
          <w:szCs w:val="18"/>
        </w:rPr>
        <w:t>2</w:t>
      </w:r>
      <w:r w:rsidR="007F6AFD">
        <w:rPr>
          <w:rFonts w:ascii="Arial" w:hAnsi="Arial" w:cs="Arial"/>
          <w:sz w:val="18"/>
          <w:szCs w:val="18"/>
        </w:rPr>
        <w:t>,</w:t>
      </w:r>
      <w:r w:rsidR="00A178F1">
        <w:rPr>
          <w:rFonts w:ascii="Arial" w:hAnsi="Arial" w:cs="Arial"/>
          <w:sz w:val="18"/>
          <w:szCs w:val="18"/>
        </w:rPr>
        <w:t>694</w:t>
      </w:r>
      <w:r>
        <w:rPr>
          <w:rFonts w:ascii="Arial" w:hAnsi="Arial" w:cs="Arial"/>
          <w:sz w:val="18"/>
          <w:szCs w:val="18"/>
        </w:rPr>
        <w:t>,</w:t>
      </w:r>
      <w:r w:rsidR="005E7AE6">
        <w:rPr>
          <w:rFonts w:ascii="Arial" w:hAnsi="Arial" w:cs="Arial"/>
          <w:sz w:val="18"/>
          <w:szCs w:val="18"/>
        </w:rPr>
        <w:t>487</w:t>
      </w:r>
      <w:r>
        <w:rPr>
          <w:rFonts w:ascii="Arial" w:hAnsi="Arial" w:cs="Arial"/>
          <w:sz w:val="18"/>
          <w:szCs w:val="18"/>
        </w:rPr>
        <w:t>,</w:t>
      </w:r>
      <w:r w:rsidR="005D1457">
        <w:rPr>
          <w:rFonts w:ascii="Arial" w:hAnsi="Arial" w:cs="Arial"/>
          <w:sz w:val="18"/>
          <w:szCs w:val="18"/>
        </w:rPr>
        <w:t>8</w:t>
      </w:r>
      <w:r w:rsidR="005E7AE6">
        <w:rPr>
          <w:rFonts w:ascii="Arial" w:hAnsi="Arial" w:cs="Arial"/>
          <w:sz w:val="18"/>
          <w:szCs w:val="18"/>
        </w:rPr>
        <w:t>35</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E7AE6">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5E7AE6">
        <w:rPr>
          <w:rFonts w:ascii="Arial" w:hAnsi="Arial" w:cs="Arial"/>
          <w:sz w:val="18"/>
          <w:szCs w:val="18"/>
        </w:rPr>
        <w:t>6</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248DB421"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5E7AE6">
        <w:rPr>
          <w:rFonts w:ascii="Arial" w:hAnsi="Arial" w:cs="Arial"/>
          <w:sz w:val="18"/>
          <w:szCs w:val="18"/>
        </w:rPr>
        <w:t>juni</w:t>
      </w:r>
      <w:r w:rsidR="005D1457">
        <w:rPr>
          <w:rFonts w:ascii="Arial" w:hAnsi="Arial" w:cs="Arial"/>
          <w:sz w:val="18"/>
          <w:szCs w:val="18"/>
        </w:rPr>
        <w:t>o</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5E7AE6">
        <w:rPr>
          <w:rFonts w:ascii="Arial" w:hAnsi="Arial" w:cs="Arial"/>
          <w:sz w:val="18"/>
          <w:szCs w:val="18"/>
        </w:rPr>
        <w:t>525</w:t>
      </w:r>
      <w:r>
        <w:rPr>
          <w:rFonts w:ascii="Arial" w:hAnsi="Arial" w:cs="Arial"/>
          <w:sz w:val="18"/>
          <w:szCs w:val="18"/>
        </w:rPr>
        <w:t>,</w:t>
      </w:r>
      <w:r w:rsidR="005E7AE6">
        <w:rPr>
          <w:rFonts w:ascii="Arial" w:hAnsi="Arial" w:cs="Arial"/>
          <w:sz w:val="18"/>
          <w:szCs w:val="18"/>
        </w:rPr>
        <w:t>112</w:t>
      </w:r>
      <w:r>
        <w:rPr>
          <w:rFonts w:ascii="Arial" w:hAnsi="Arial" w:cs="Arial"/>
          <w:sz w:val="18"/>
          <w:szCs w:val="18"/>
        </w:rPr>
        <w:t>,</w:t>
      </w:r>
      <w:r w:rsidR="005E7AE6">
        <w:rPr>
          <w:rFonts w:ascii="Arial" w:hAnsi="Arial" w:cs="Arial"/>
          <w:sz w:val="18"/>
          <w:szCs w:val="18"/>
        </w:rPr>
        <w:t>968</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5E7AE6">
        <w:rPr>
          <w:rFonts w:ascii="Arial" w:hAnsi="Arial" w:cs="Arial"/>
          <w:sz w:val="18"/>
          <w:szCs w:val="18"/>
        </w:rPr>
        <w:t>48</w:t>
      </w:r>
      <w:r w:rsidR="005D1457">
        <w:rPr>
          <w:rFonts w:ascii="Arial" w:hAnsi="Arial" w:cs="Arial"/>
          <w:sz w:val="18"/>
          <w:szCs w:val="18"/>
        </w:rPr>
        <w:t>6</w:t>
      </w:r>
      <w:r w:rsidR="00E004F0">
        <w:rPr>
          <w:rFonts w:ascii="Arial" w:hAnsi="Arial" w:cs="Arial"/>
          <w:sz w:val="18"/>
          <w:szCs w:val="18"/>
        </w:rPr>
        <w:t>,</w:t>
      </w:r>
      <w:r w:rsidR="005E7AE6">
        <w:rPr>
          <w:rFonts w:ascii="Arial" w:hAnsi="Arial" w:cs="Arial"/>
          <w:sz w:val="18"/>
          <w:szCs w:val="18"/>
        </w:rPr>
        <w:t>571</w:t>
      </w:r>
      <w:r w:rsidR="00AB0983">
        <w:rPr>
          <w:rFonts w:ascii="Arial" w:hAnsi="Arial" w:cs="Arial"/>
          <w:sz w:val="18"/>
          <w:szCs w:val="18"/>
        </w:rPr>
        <w:t>,</w:t>
      </w:r>
      <w:r w:rsidR="005E7AE6">
        <w:rPr>
          <w:rFonts w:ascii="Arial" w:hAnsi="Arial" w:cs="Arial"/>
          <w:sz w:val="18"/>
          <w:szCs w:val="18"/>
        </w:rPr>
        <w:t>001</w:t>
      </w:r>
      <w:r>
        <w:rPr>
          <w:rFonts w:ascii="Arial" w:hAnsi="Arial" w:cs="Arial"/>
          <w:sz w:val="18"/>
          <w:szCs w:val="18"/>
        </w:rPr>
        <w:t>; sobre la Producción, el Consumo y las transacciones por un importe de $</w:t>
      </w:r>
      <w:r w:rsidR="005E7AE6">
        <w:rPr>
          <w:rFonts w:ascii="Arial" w:hAnsi="Arial" w:cs="Arial"/>
          <w:sz w:val="18"/>
          <w:szCs w:val="18"/>
        </w:rPr>
        <w:t>24</w:t>
      </w:r>
      <w:r>
        <w:rPr>
          <w:rFonts w:ascii="Arial" w:hAnsi="Arial" w:cs="Arial"/>
          <w:sz w:val="18"/>
          <w:szCs w:val="18"/>
        </w:rPr>
        <w:t>,</w:t>
      </w:r>
      <w:r w:rsidR="005E7AE6">
        <w:rPr>
          <w:rFonts w:ascii="Arial" w:hAnsi="Arial" w:cs="Arial"/>
          <w:sz w:val="18"/>
          <w:szCs w:val="18"/>
        </w:rPr>
        <w:t>778</w:t>
      </w:r>
      <w:r>
        <w:rPr>
          <w:rFonts w:ascii="Arial" w:hAnsi="Arial" w:cs="Arial"/>
          <w:sz w:val="18"/>
          <w:szCs w:val="18"/>
        </w:rPr>
        <w:t>,</w:t>
      </w:r>
      <w:r w:rsidR="005E7AE6">
        <w:rPr>
          <w:rFonts w:ascii="Arial" w:hAnsi="Arial" w:cs="Arial"/>
          <w:sz w:val="18"/>
          <w:szCs w:val="18"/>
        </w:rPr>
        <w:t>918</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E7AE6">
        <w:rPr>
          <w:rFonts w:ascii="Arial" w:hAnsi="Arial" w:cs="Arial"/>
          <w:sz w:val="18"/>
          <w:szCs w:val="18"/>
        </w:rPr>
        <w:t>6</w:t>
      </w:r>
      <w:r>
        <w:rPr>
          <w:rFonts w:ascii="Arial" w:hAnsi="Arial" w:cs="Arial"/>
          <w:sz w:val="18"/>
          <w:szCs w:val="18"/>
        </w:rPr>
        <w:t>,</w:t>
      </w:r>
      <w:r w:rsidR="005D1457">
        <w:rPr>
          <w:rFonts w:ascii="Arial" w:hAnsi="Arial" w:cs="Arial"/>
          <w:sz w:val="18"/>
          <w:szCs w:val="18"/>
        </w:rPr>
        <w:t>4</w:t>
      </w:r>
      <w:r w:rsidR="005E7AE6">
        <w:rPr>
          <w:rFonts w:ascii="Arial" w:hAnsi="Arial" w:cs="Arial"/>
          <w:sz w:val="18"/>
          <w:szCs w:val="18"/>
        </w:rPr>
        <w:t>11</w:t>
      </w:r>
      <w:r>
        <w:rPr>
          <w:rFonts w:ascii="Arial" w:hAnsi="Arial" w:cs="Arial"/>
          <w:sz w:val="18"/>
          <w:szCs w:val="18"/>
        </w:rPr>
        <w:t>,</w:t>
      </w:r>
      <w:r w:rsidR="005E7AE6">
        <w:rPr>
          <w:rFonts w:ascii="Arial" w:hAnsi="Arial" w:cs="Arial"/>
          <w:sz w:val="18"/>
          <w:szCs w:val="18"/>
        </w:rPr>
        <w:t>909</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5E7AE6">
        <w:rPr>
          <w:rFonts w:ascii="Arial" w:hAnsi="Arial" w:cs="Arial"/>
          <w:sz w:val="18"/>
          <w:szCs w:val="18"/>
        </w:rPr>
        <w:t>nega</w:t>
      </w:r>
      <w:r w:rsidR="005D1457">
        <w:rPr>
          <w:rFonts w:ascii="Arial" w:hAnsi="Arial" w:cs="Arial"/>
          <w:sz w:val="18"/>
          <w:szCs w:val="18"/>
        </w:rPr>
        <w:t xml:space="preserve">tivo </w:t>
      </w:r>
      <w:r w:rsidR="00304672">
        <w:rPr>
          <w:rFonts w:ascii="Arial" w:hAnsi="Arial" w:cs="Arial"/>
          <w:sz w:val="18"/>
          <w:szCs w:val="18"/>
        </w:rPr>
        <w:t xml:space="preserve">en impuestos del </w:t>
      </w:r>
      <w:r w:rsidR="005E7AE6">
        <w:rPr>
          <w:rFonts w:ascii="Arial" w:hAnsi="Arial" w:cs="Arial"/>
          <w:sz w:val="18"/>
          <w:szCs w:val="18"/>
        </w:rPr>
        <w:t>39</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5120F005"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E7AE6">
        <w:rPr>
          <w:rFonts w:ascii="Arial" w:hAnsi="Arial" w:cs="Arial"/>
          <w:sz w:val="18"/>
          <w:szCs w:val="18"/>
        </w:rPr>
        <w:t>juni</w:t>
      </w:r>
      <w:r w:rsidR="005D1457">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3147DC">
        <w:rPr>
          <w:rFonts w:ascii="Arial" w:hAnsi="Arial" w:cs="Arial"/>
          <w:sz w:val="18"/>
          <w:szCs w:val="18"/>
        </w:rPr>
        <w:t>398</w:t>
      </w:r>
      <w:r>
        <w:rPr>
          <w:rFonts w:ascii="Arial" w:hAnsi="Arial" w:cs="Arial"/>
          <w:sz w:val="18"/>
          <w:szCs w:val="18"/>
        </w:rPr>
        <w:t>,</w:t>
      </w:r>
      <w:r w:rsidR="003147DC">
        <w:rPr>
          <w:rFonts w:ascii="Arial" w:hAnsi="Arial" w:cs="Arial"/>
          <w:sz w:val="18"/>
          <w:szCs w:val="18"/>
        </w:rPr>
        <w:t>743</w:t>
      </w:r>
      <w:r>
        <w:rPr>
          <w:rFonts w:ascii="Arial" w:hAnsi="Arial" w:cs="Arial"/>
          <w:sz w:val="18"/>
          <w:szCs w:val="18"/>
        </w:rPr>
        <w:t>,</w:t>
      </w:r>
      <w:r w:rsidR="003147DC">
        <w:rPr>
          <w:rFonts w:ascii="Arial" w:hAnsi="Arial" w:cs="Arial"/>
          <w:sz w:val="18"/>
          <w:szCs w:val="18"/>
        </w:rPr>
        <w:t>294</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3147DC">
        <w:rPr>
          <w:rFonts w:ascii="Arial" w:hAnsi="Arial" w:cs="Arial"/>
          <w:sz w:val="18"/>
          <w:szCs w:val="18"/>
        </w:rPr>
        <w:t>44</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591D64D9"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9624B">
        <w:rPr>
          <w:rFonts w:ascii="Arial" w:hAnsi="Arial" w:cs="Arial"/>
          <w:sz w:val="18"/>
          <w:szCs w:val="18"/>
        </w:rPr>
        <w:t>junio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A9624B">
        <w:rPr>
          <w:rFonts w:ascii="Arial" w:hAnsi="Arial" w:cs="Arial"/>
          <w:sz w:val="18"/>
          <w:szCs w:val="18"/>
        </w:rPr>
        <w:t>1</w:t>
      </w:r>
      <w:r w:rsidR="005D1457">
        <w:rPr>
          <w:rFonts w:ascii="Arial" w:hAnsi="Arial" w:cs="Arial"/>
          <w:sz w:val="18"/>
          <w:szCs w:val="18"/>
        </w:rPr>
        <w:t>9</w:t>
      </w:r>
      <w:r w:rsidR="00A9624B">
        <w:rPr>
          <w:rFonts w:ascii="Arial" w:hAnsi="Arial" w:cs="Arial"/>
          <w:sz w:val="18"/>
          <w:szCs w:val="18"/>
        </w:rPr>
        <w:t>6</w:t>
      </w:r>
      <w:r w:rsidRPr="00502DDD">
        <w:rPr>
          <w:rFonts w:ascii="Arial" w:hAnsi="Arial" w:cs="Arial"/>
          <w:sz w:val="18"/>
          <w:szCs w:val="18"/>
        </w:rPr>
        <w:t>,</w:t>
      </w:r>
      <w:r w:rsidR="005D1457">
        <w:rPr>
          <w:rFonts w:ascii="Arial" w:hAnsi="Arial" w:cs="Arial"/>
          <w:sz w:val="18"/>
          <w:szCs w:val="18"/>
        </w:rPr>
        <w:t>38</w:t>
      </w:r>
      <w:r w:rsidR="00A9624B">
        <w:rPr>
          <w:rFonts w:ascii="Arial" w:hAnsi="Arial" w:cs="Arial"/>
          <w:sz w:val="18"/>
          <w:szCs w:val="18"/>
        </w:rPr>
        <w:t>4</w:t>
      </w:r>
      <w:r w:rsidRPr="00502DDD">
        <w:rPr>
          <w:rFonts w:ascii="Arial" w:hAnsi="Arial" w:cs="Arial"/>
          <w:sz w:val="18"/>
          <w:szCs w:val="18"/>
        </w:rPr>
        <w:t>,</w:t>
      </w:r>
      <w:r w:rsidR="00A9624B">
        <w:rPr>
          <w:rFonts w:ascii="Arial" w:hAnsi="Arial" w:cs="Arial"/>
          <w:sz w:val="18"/>
          <w:szCs w:val="18"/>
        </w:rPr>
        <w:t>097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5D1457">
        <w:rPr>
          <w:rFonts w:ascii="Arial" w:hAnsi="Arial" w:cs="Arial"/>
          <w:sz w:val="18"/>
          <w:szCs w:val="18"/>
        </w:rPr>
        <w:t>de</w:t>
      </w:r>
      <w:r w:rsidR="00304672">
        <w:rPr>
          <w:rFonts w:ascii="Arial" w:hAnsi="Arial" w:cs="Arial"/>
          <w:sz w:val="18"/>
          <w:szCs w:val="18"/>
        </w:rPr>
        <w:t xml:space="preserve">cremento del </w:t>
      </w:r>
      <w:r w:rsidR="00A9624B">
        <w:rPr>
          <w:rFonts w:ascii="Arial" w:hAnsi="Arial" w:cs="Arial"/>
          <w:sz w:val="18"/>
          <w:szCs w:val="18"/>
        </w:rPr>
        <w:t>41</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1C6DF514"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9624B">
        <w:rPr>
          <w:rFonts w:ascii="Arial" w:hAnsi="Arial" w:cs="Arial"/>
          <w:sz w:val="18"/>
          <w:szCs w:val="18"/>
        </w:rPr>
        <w:t>juni</w:t>
      </w:r>
      <w:r w:rsidR="004833FD">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A9624B">
        <w:rPr>
          <w:rFonts w:ascii="Arial" w:hAnsi="Arial" w:cs="Arial"/>
          <w:sz w:val="18"/>
          <w:szCs w:val="18"/>
        </w:rPr>
        <w:t>915</w:t>
      </w:r>
      <w:r w:rsidR="00363494">
        <w:rPr>
          <w:rFonts w:ascii="Arial" w:hAnsi="Arial" w:cs="Arial"/>
          <w:sz w:val="18"/>
          <w:szCs w:val="18"/>
        </w:rPr>
        <w:t>,</w:t>
      </w:r>
      <w:r w:rsidR="004833FD">
        <w:rPr>
          <w:rFonts w:ascii="Arial" w:hAnsi="Arial" w:cs="Arial"/>
          <w:sz w:val="18"/>
          <w:szCs w:val="18"/>
        </w:rPr>
        <w:t>3</w:t>
      </w:r>
      <w:r w:rsidR="00A9624B">
        <w:rPr>
          <w:rFonts w:ascii="Arial" w:hAnsi="Arial" w:cs="Arial"/>
          <w:sz w:val="18"/>
          <w:szCs w:val="18"/>
        </w:rPr>
        <w:t>62</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A9624B">
        <w:rPr>
          <w:rFonts w:ascii="Arial" w:hAnsi="Arial" w:cs="Arial"/>
          <w:sz w:val="18"/>
          <w:szCs w:val="18"/>
        </w:rPr>
        <w:t>de</w:t>
      </w:r>
      <w:r w:rsidR="00EC5C97">
        <w:rPr>
          <w:rFonts w:ascii="Arial" w:hAnsi="Arial" w:cs="Arial"/>
          <w:sz w:val="18"/>
          <w:szCs w:val="18"/>
        </w:rPr>
        <w:t xml:space="preserve">cremento del </w:t>
      </w:r>
      <w:r w:rsidR="004833FD">
        <w:rPr>
          <w:rFonts w:ascii="Arial" w:hAnsi="Arial" w:cs="Arial"/>
          <w:sz w:val="18"/>
          <w:szCs w:val="18"/>
        </w:rPr>
        <w:t>96</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5BF03215"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386D2B">
        <w:rPr>
          <w:rFonts w:ascii="Arial" w:hAnsi="Arial" w:cs="Arial"/>
          <w:sz w:val="18"/>
          <w:szCs w:val="18"/>
        </w:rPr>
        <w:t>79</w:t>
      </w:r>
      <w:r w:rsidRPr="004D6FA0">
        <w:rPr>
          <w:rFonts w:ascii="Arial" w:hAnsi="Arial" w:cs="Arial"/>
          <w:sz w:val="18"/>
          <w:szCs w:val="18"/>
        </w:rPr>
        <w:t>,</w:t>
      </w:r>
      <w:r w:rsidR="00386D2B">
        <w:rPr>
          <w:rFonts w:ascii="Arial" w:hAnsi="Arial" w:cs="Arial"/>
          <w:sz w:val="18"/>
          <w:szCs w:val="18"/>
        </w:rPr>
        <w:t>763</w:t>
      </w:r>
      <w:r w:rsidRPr="004D6FA0">
        <w:rPr>
          <w:rFonts w:ascii="Arial" w:hAnsi="Arial" w:cs="Arial"/>
          <w:sz w:val="18"/>
          <w:szCs w:val="18"/>
        </w:rPr>
        <w:t>,</w:t>
      </w:r>
      <w:r w:rsidR="00386D2B">
        <w:rPr>
          <w:rFonts w:ascii="Arial" w:hAnsi="Arial" w:cs="Arial"/>
          <w:sz w:val="18"/>
          <w:szCs w:val="18"/>
        </w:rPr>
        <w:t>280</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86D2B">
        <w:rPr>
          <w:rFonts w:ascii="Arial" w:hAnsi="Arial" w:cs="Arial"/>
          <w:sz w:val="18"/>
          <w:szCs w:val="18"/>
        </w:rPr>
        <w:t>37</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4CC29163"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386D2B">
        <w:rPr>
          <w:rFonts w:ascii="Arial" w:hAnsi="Arial" w:cs="Arial"/>
          <w:sz w:val="18"/>
          <w:szCs w:val="18"/>
        </w:rPr>
        <w:t>14</w:t>
      </w:r>
      <w:r>
        <w:rPr>
          <w:rFonts w:ascii="Arial" w:hAnsi="Arial" w:cs="Arial"/>
          <w:sz w:val="18"/>
          <w:szCs w:val="18"/>
        </w:rPr>
        <w:t>,</w:t>
      </w:r>
      <w:r w:rsidR="00386D2B">
        <w:rPr>
          <w:rFonts w:ascii="Arial" w:hAnsi="Arial" w:cs="Arial"/>
          <w:sz w:val="18"/>
          <w:szCs w:val="18"/>
        </w:rPr>
        <w:t>806</w:t>
      </w:r>
      <w:r>
        <w:rPr>
          <w:rFonts w:ascii="Arial" w:hAnsi="Arial" w:cs="Arial"/>
          <w:sz w:val="18"/>
          <w:szCs w:val="18"/>
        </w:rPr>
        <w:t>,</w:t>
      </w:r>
      <w:r w:rsidR="00386D2B">
        <w:rPr>
          <w:rFonts w:ascii="Arial" w:hAnsi="Arial" w:cs="Arial"/>
          <w:sz w:val="18"/>
          <w:szCs w:val="18"/>
        </w:rPr>
        <w:t>254</w:t>
      </w:r>
      <w:r>
        <w:rPr>
          <w:rFonts w:ascii="Arial" w:hAnsi="Arial" w:cs="Arial"/>
          <w:sz w:val="18"/>
          <w:szCs w:val="18"/>
        </w:rPr>
        <w:t>,</w:t>
      </w:r>
      <w:r w:rsidR="00386D2B">
        <w:rPr>
          <w:rFonts w:ascii="Arial" w:hAnsi="Arial" w:cs="Arial"/>
          <w:sz w:val="18"/>
          <w:szCs w:val="18"/>
        </w:rPr>
        <w:t>215</w:t>
      </w:r>
      <w:r>
        <w:rPr>
          <w:rFonts w:ascii="Arial" w:hAnsi="Arial" w:cs="Arial"/>
          <w:sz w:val="18"/>
          <w:szCs w:val="18"/>
        </w:rPr>
        <w:t xml:space="preserve"> al mes de </w:t>
      </w:r>
      <w:r w:rsidR="00386D2B">
        <w:rPr>
          <w:rFonts w:ascii="Arial" w:hAnsi="Arial" w:cs="Arial"/>
          <w:sz w:val="18"/>
          <w:szCs w:val="18"/>
        </w:rPr>
        <w:t>juni</w:t>
      </w:r>
      <w:r w:rsidR="00337CFD">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386D2B">
        <w:rPr>
          <w:rFonts w:ascii="Arial" w:hAnsi="Arial" w:cs="Arial"/>
          <w:sz w:val="18"/>
          <w:szCs w:val="18"/>
        </w:rPr>
        <w:t>5</w:t>
      </w:r>
      <w:r w:rsidR="00337CFD">
        <w:rPr>
          <w:rFonts w:ascii="Arial" w:hAnsi="Arial" w:cs="Arial"/>
          <w:sz w:val="18"/>
          <w:szCs w:val="18"/>
        </w:rPr>
        <w:t>0</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0BB4530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386D2B">
        <w:rPr>
          <w:rFonts w:ascii="Arial" w:hAnsi="Arial" w:cs="Arial"/>
          <w:sz w:val="18"/>
          <w:szCs w:val="18"/>
        </w:rPr>
        <w:t>6</w:t>
      </w:r>
      <w:r>
        <w:rPr>
          <w:rFonts w:ascii="Arial" w:hAnsi="Arial" w:cs="Arial"/>
          <w:sz w:val="18"/>
          <w:szCs w:val="18"/>
        </w:rPr>
        <w:t>,</w:t>
      </w:r>
      <w:r w:rsidR="00386D2B">
        <w:rPr>
          <w:rFonts w:ascii="Arial" w:hAnsi="Arial" w:cs="Arial"/>
          <w:sz w:val="18"/>
          <w:szCs w:val="18"/>
        </w:rPr>
        <w:t>640</w:t>
      </w:r>
      <w:r>
        <w:rPr>
          <w:rFonts w:ascii="Arial" w:hAnsi="Arial" w:cs="Arial"/>
          <w:sz w:val="18"/>
          <w:szCs w:val="18"/>
        </w:rPr>
        <w:t>,</w:t>
      </w:r>
      <w:r w:rsidR="00337CFD">
        <w:rPr>
          <w:rFonts w:ascii="Arial" w:hAnsi="Arial" w:cs="Arial"/>
          <w:sz w:val="18"/>
          <w:szCs w:val="18"/>
        </w:rPr>
        <w:t>2</w:t>
      </w:r>
      <w:r w:rsidR="00386D2B">
        <w:rPr>
          <w:rFonts w:ascii="Arial" w:hAnsi="Arial" w:cs="Arial"/>
          <w:sz w:val="18"/>
          <w:szCs w:val="18"/>
        </w:rPr>
        <w:t>13</w:t>
      </w:r>
      <w:r>
        <w:rPr>
          <w:rFonts w:ascii="Arial" w:hAnsi="Arial" w:cs="Arial"/>
          <w:sz w:val="18"/>
          <w:szCs w:val="18"/>
        </w:rPr>
        <w:t>,</w:t>
      </w:r>
      <w:r w:rsidR="00386D2B">
        <w:rPr>
          <w:rFonts w:ascii="Arial" w:hAnsi="Arial" w:cs="Arial"/>
          <w:sz w:val="18"/>
          <w:szCs w:val="18"/>
        </w:rPr>
        <w:t>362</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386D2B">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lastRenderedPageBreak/>
        <w:t>Aportaciones Federales</w:t>
      </w:r>
    </w:p>
    <w:p w14:paraId="325D5A51" w14:textId="252246B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386D2B">
        <w:rPr>
          <w:rFonts w:ascii="Arial" w:hAnsi="Arial" w:cs="Arial"/>
          <w:sz w:val="18"/>
          <w:szCs w:val="18"/>
        </w:rPr>
        <w:t>juni</w:t>
      </w:r>
      <w:r w:rsidR="00DD43EF">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068FF93F" w:rsidR="00AE0E84" w:rsidRPr="0004135F" w:rsidRDefault="002029FE"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w:t>
            </w:r>
            <w:r w:rsidR="00147A3D">
              <w:rPr>
                <w:rFonts w:eastAsia="Times New Roman" w:cstheme="minorHAnsi"/>
                <w:color w:val="000000"/>
                <w:sz w:val="20"/>
                <w:szCs w:val="18"/>
                <w:lang w:eastAsia="es-MX"/>
              </w:rPr>
              <w:t>380</w:t>
            </w:r>
            <w:r>
              <w:rPr>
                <w:rFonts w:eastAsia="Times New Roman" w:cstheme="minorHAnsi"/>
                <w:color w:val="000000"/>
                <w:sz w:val="20"/>
                <w:szCs w:val="18"/>
                <w:lang w:eastAsia="es-MX"/>
              </w:rPr>
              <w:t>,</w:t>
            </w:r>
            <w:r w:rsidR="00147A3D">
              <w:rPr>
                <w:rFonts w:eastAsia="Times New Roman" w:cstheme="minorHAnsi"/>
                <w:color w:val="000000"/>
                <w:sz w:val="20"/>
                <w:szCs w:val="18"/>
                <w:lang w:eastAsia="es-MX"/>
              </w:rPr>
              <w:t>723</w:t>
            </w:r>
            <w:r>
              <w:rPr>
                <w:rFonts w:eastAsia="Times New Roman" w:cstheme="minorHAnsi"/>
                <w:color w:val="000000"/>
                <w:sz w:val="20"/>
                <w:szCs w:val="18"/>
                <w:lang w:eastAsia="es-MX"/>
              </w:rPr>
              <w:t>,</w:t>
            </w:r>
            <w:r w:rsidR="00147A3D">
              <w:rPr>
                <w:rFonts w:eastAsia="Times New Roman" w:cstheme="minorHAnsi"/>
                <w:color w:val="000000"/>
                <w:sz w:val="20"/>
                <w:szCs w:val="18"/>
                <w:lang w:eastAsia="es-MX"/>
              </w:rPr>
              <w:t>670</w:t>
            </w:r>
          </w:p>
        </w:tc>
        <w:tc>
          <w:tcPr>
            <w:tcW w:w="1214" w:type="dxa"/>
            <w:tcBorders>
              <w:top w:val="nil"/>
              <w:left w:val="nil"/>
              <w:bottom w:val="single" w:sz="8" w:space="0" w:color="auto"/>
              <w:right w:val="single" w:sz="8" w:space="0" w:color="auto"/>
            </w:tcBorders>
            <w:shd w:val="clear" w:color="auto" w:fill="auto"/>
            <w:noWrap/>
            <w:vAlign w:val="center"/>
          </w:tcPr>
          <w:p w14:paraId="6E3D10BF" w14:textId="5D733612"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42</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47</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2350254C"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860,777,874</w:t>
            </w:r>
          </w:p>
        </w:tc>
        <w:tc>
          <w:tcPr>
            <w:tcW w:w="1214" w:type="dxa"/>
            <w:tcBorders>
              <w:top w:val="nil"/>
              <w:left w:val="nil"/>
              <w:bottom w:val="single" w:sz="8" w:space="0" w:color="auto"/>
              <w:right w:val="single" w:sz="8" w:space="0" w:color="auto"/>
            </w:tcBorders>
            <w:shd w:val="clear" w:color="auto" w:fill="auto"/>
            <w:noWrap/>
            <w:vAlign w:val="center"/>
          </w:tcPr>
          <w:p w14:paraId="279F69EC" w14:textId="29F95C83"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5</w:t>
            </w:r>
            <w:r>
              <w:rPr>
                <w:rFonts w:eastAsia="Times New Roman" w:cstheme="minorHAnsi"/>
                <w:color w:val="000000"/>
                <w:sz w:val="20"/>
                <w:szCs w:val="18"/>
                <w:lang w:eastAsia="es-MX"/>
              </w:rPr>
              <w:t>.</w:t>
            </w:r>
            <w:r w:rsidR="004F4FB2">
              <w:rPr>
                <w:rFonts w:eastAsia="Times New Roman" w:cstheme="minorHAnsi"/>
                <w:color w:val="000000"/>
                <w:sz w:val="20"/>
                <w:szCs w:val="18"/>
                <w:lang w:eastAsia="es-MX"/>
              </w:rPr>
              <w:t>36</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39DBB96A"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w:t>
            </w:r>
            <w:r w:rsidR="00337CFD">
              <w:rPr>
                <w:rFonts w:eastAsia="Times New Roman" w:cstheme="minorHAnsi"/>
                <w:color w:val="000000"/>
                <w:sz w:val="20"/>
                <w:szCs w:val="18"/>
                <w:lang w:eastAsia="es-MX"/>
              </w:rPr>
              <w:t>4</w:t>
            </w:r>
            <w:r>
              <w:rPr>
                <w:rFonts w:eastAsia="Times New Roman" w:cstheme="minorHAnsi"/>
                <w:color w:val="000000"/>
                <w:sz w:val="20"/>
                <w:szCs w:val="18"/>
                <w:lang w:eastAsia="es-MX"/>
              </w:rPr>
              <w:t>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214</w:t>
            </w:r>
          </w:p>
        </w:tc>
        <w:tc>
          <w:tcPr>
            <w:tcW w:w="1214" w:type="dxa"/>
            <w:tcBorders>
              <w:top w:val="nil"/>
              <w:left w:val="nil"/>
              <w:bottom w:val="single" w:sz="8" w:space="0" w:color="auto"/>
              <w:right w:val="single" w:sz="8" w:space="0" w:color="auto"/>
            </w:tcBorders>
            <w:shd w:val="clear" w:color="auto" w:fill="auto"/>
            <w:noWrap/>
            <w:vAlign w:val="center"/>
          </w:tcPr>
          <w:p w14:paraId="5E3983A1" w14:textId="5B7FD274"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74</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03DA898E"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706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483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638</w:t>
            </w:r>
          </w:p>
        </w:tc>
        <w:tc>
          <w:tcPr>
            <w:tcW w:w="1214" w:type="dxa"/>
            <w:tcBorders>
              <w:top w:val="nil"/>
              <w:left w:val="nil"/>
              <w:bottom w:val="single" w:sz="8" w:space="0" w:color="auto"/>
              <w:right w:val="single" w:sz="8" w:space="0" w:color="auto"/>
            </w:tcBorders>
            <w:shd w:val="clear" w:color="auto" w:fill="auto"/>
            <w:noWrap/>
            <w:vAlign w:val="center"/>
          </w:tcPr>
          <w:p w14:paraId="7F8B696D" w14:textId="4C00FA99"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2</w:t>
            </w:r>
            <w:r>
              <w:rPr>
                <w:rFonts w:eastAsia="Times New Roman" w:cstheme="minorHAnsi"/>
                <w:color w:val="000000"/>
                <w:sz w:val="20"/>
                <w:szCs w:val="18"/>
                <w:lang w:eastAsia="es-MX"/>
              </w:rPr>
              <w:t>.</w:t>
            </w:r>
            <w:r w:rsidR="004F4FB2">
              <w:rPr>
                <w:rFonts w:eastAsia="Times New Roman" w:cstheme="minorHAnsi"/>
                <w:color w:val="000000"/>
                <w:sz w:val="20"/>
                <w:szCs w:val="18"/>
                <w:lang w:eastAsia="es-MX"/>
              </w:rPr>
              <w:t>60</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30A2097"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w:t>
            </w:r>
            <w:r w:rsidR="00147A3D">
              <w:rPr>
                <w:rFonts w:eastAsia="Times New Roman" w:cstheme="minorHAnsi"/>
                <w:color w:val="000000"/>
                <w:sz w:val="20"/>
                <w:szCs w:val="18"/>
                <w:lang w:eastAsia="es-MX"/>
              </w:rPr>
              <w:t>32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w:t>
            </w:r>
            <w:r w:rsidR="00147A3D">
              <w:rPr>
                <w:rFonts w:eastAsia="Times New Roman" w:cstheme="minorHAnsi"/>
                <w:color w:val="000000"/>
                <w:sz w:val="20"/>
                <w:szCs w:val="18"/>
                <w:lang w:eastAsia="es-MX"/>
              </w:rPr>
              <w:t>52</w:t>
            </w:r>
            <w:r w:rsidR="006141F9">
              <w:rPr>
                <w:rFonts w:eastAsia="Times New Roman" w:cstheme="minorHAnsi"/>
                <w:color w:val="000000"/>
                <w:sz w:val="20"/>
                <w:szCs w:val="18"/>
                <w:lang w:eastAsia="es-MX"/>
              </w:rPr>
              <w:t>,</w:t>
            </w:r>
            <w:r w:rsidR="00147A3D">
              <w:rPr>
                <w:rFonts w:eastAsia="Times New Roman" w:cstheme="minorHAnsi"/>
                <w:color w:val="000000"/>
                <w:sz w:val="20"/>
                <w:szCs w:val="18"/>
                <w:lang w:eastAsia="es-MX"/>
              </w:rPr>
              <w:t>118</w:t>
            </w:r>
          </w:p>
        </w:tc>
        <w:tc>
          <w:tcPr>
            <w:tcW w:w="1214" w:type="dxa"/>
            <w:tcBorders>
              <w:top w:val="nil"/>
              <w:left w:val="nil"/>
              <w:bottom w:val="single" w:sz="8" w:space="0" w:color="auto"/>
              <w:right w:val="single" w:sz="8" w:space="0" w:color="auto"/>
            </w:tcBorders>
            <w:shd w:val="clear" w:color="auto" w:fill="auto"/>
            <w:noWrap/>
            <w:vAlign w:val="center"/>
          </w:tcPr>
          <w:p w14:paraId="7186E41E" w14:textId="12D4FBFD"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4F4FB2">
              <w:rPr>
                <w:rFonts w:eastAsia="Times New Roman" w:cstheme="minorHAnsi"/>
                <w:color w:val="000000"/>
                <w:sz w:val="20"/>
                <w:szCs w:val="18"/>
                <w:lang w:eastAsia="es-MX"/>
              </w:rPr>
              <w:t>28</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46CDA85F" w:rsidR="00E828CB"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603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717</w:t>
            </w:r>
          </w:p>
        </w:tc>
        <w:tc>
          <w:tcPr>
            <w:tcW w:w="1214" w:type="dxa"/>
            <w:tcBorders>
              <w:top w:val="nil"/>
              <w:left w:val="nil"/>
              <w:bottom w:val="single" w:sz="8" w:space="0" w:color="auto"/>
              <w:right w:val="single" w:sz="8" w:space="0" w:color="auto"/>
            </w:tcBorders>
            <w:shd w:val="clear" w:color="auto" w:fill="auto"/>
            <w:noWrap/>
            <w:vAlign w:val="center"/>
          </w:tcPr>
          <w:p w14:paraId="173E7ADB" w14:textId="7E0E095F" w:rsidR="00E828CB"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31</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3C58DD08"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27</w:t>
            </w:r>
            <w:r w:rsidR="006141F9">
              <w:rPr>
                <w:rFonts w:eastAsia="Times New Roman" w:cstheme="minorHAnsi"/>
                <w:color w:val="000000"/>
                <w:sz w:val="20"/>
                <w:szCs w:val="18"/>
                <w:lang w:eastAsia="es-MX"/>
              </w:rPr>
              <w:t>,</w:t>
            </w:r>
            <w:r w:rsidR="00DD43EF">
              <w:rPr>
                <w:rFonts w:eastAsia="Times New Roman" w:cstheme="minorHAnsi"/>
                <w:color w:val="000000"/>
                <w:sz w:val="20"/>
                <w:szCs w:val="18"/>
                <w:lang w:eastAsia="es-MX"/>
              </w:rPr>
              <w:t>7</w:t>
            </w:r>
            <w:r>
              <w:rPr>
                <w:rFonts w:eastAsia="Times New Roman" w:cstheme="minorHAnsi"/>
                <w:color w:val="000000"/>
                <w:sz w:val="20"/>
                <w:szCs w:val="18"/>
                <w:lang w:eastAsia="es-MX"/>
              </w:rPr>
              <w:t>43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468</w:t>
            </w:r>
          </w:p>
        </w:tc>
        <w:tc>
          <w:tcPr>
            <w:tcW w:w="1214" w:type="dxa"/>
            <w:tcBorders>
              <w:top w:val="nil"/>
              <w:left w:val="nil"/>
              <w:bottom w:val="single" w:sz="8" w:space="0" w:color="auto"/>
              <w:right w:val="single" w:sz="8" w:space="0" w:color="auto"/>
            </w:tcBorders>
            <w:shd w:val="clear" w:color="auto" w:fill="auto"/>
            <w:noWrap/>
            <w:vAlign w:val="center"/>
          </w:tcPr>
          <w:p w14:paraId="6C945F4F" w14:textId="0D3468EC"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4F4FB2">
              <w:rPr>
                <w:rFonts w:eastAsia="Times New Roman" w:cstheme="minorHAnsi"/>
                <w:color w:val="000000"/>
                <w:sz w:val="20"/>
                <w:szCs w:val="18"/>
                <w:lang w:eastAsia="es-MX"/>
              </w:rPr>
              <w:t>5</w:t>
            </w:r>
            <w:r>
              <w:rPr>
                <w:rFonts w:eastAsia="Times New Roman" w:cstheme="minorHAnsi"/>
                <w:color w:val="000000"/>
                <w:sz w:val="20"/>
                <w:szCs w:val="18"/>
                <w:lang w:eastAsia="es-MX"/>
              </w:rPr>
              <w:t>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278CEA60"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708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081</w:t>
            </w:r>
          </w:p>
        </w:tc>
        <w:tc>
          <w:tcPr>
            <w:tcW w:w="1214" w:type="dxa"/>
            <w:tcBorders>
              <w:top w:val="nil"/>
              <w:left w:val="nil"/>
              <w:bottom w:val="single" w:sz="8" w:space="0" w:color="auto"/>
              <w:right w:val="single" w:sz="8" w:space="0" w:color="auto"/>
            </w:tcBorders>
            <w:shd w:val="clear" w:color="auto" w:fill="auto"/>
            <w:noWrap/>
            <w:vAlign w:val="center"/>
          </w:tcPr>
          <w:p w14:paraId="4FDD53D7" w14:textId="78D9996E"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4F4FB2">
              <w:rPr>
                <w:rFonts w:eastAsia="Times New Roman" w:cstheme="minorHAnsi"/>
                <w:color w:val="000000"/>
                <w:sz w:val="20"/>
                <w:szCs w:val="18"/>
                <w:lang w:eastAsia="es-MX"/>
              </w:rPr>
              <w:t>53</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5F4A106D"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28</w:t>
            </w:r>
            <w:r w:rsidR="00DD43EF">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548</w:t>
            </w:r>
          </w:p>
        </w:tc>
        <w:tc>
          <w:tcPr>
            <w:tcW w:w="1214" w:type="dxa"/>
            <w:tcBorders>
              <w:top w:val="nil"/>
              <w:left w:val="nil"/>
              <w:bottom w:val="single" w:sz="8" w:space="0" w:color="auto"/>
              <w:right w:val="single" w:sz="8" w:space="0" w:color="auto"/>
            </w:tcBorders>
            <w:shd w:val="clear" w:color="auto" w:fill="auto"/>
            <w:noWrap/>
            <w:vAlign w:val="center"/>
          </w:tcPr>
          <w:p w14:paraId="73AE023E" w14:textId="524708E1"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0</w:t>
            </w:r>
            <w:r w:rsidR="00DD43EF">
              <w:rPr>
                <w:rFonts w:eastAsia="Times New Roman" w:cstheme="minorHAnsi"/>
                <w:color w:val="000000"/>
                <w:sz w:val="20"/>
                <w:szCs w:val="18"/>
                <w:lang w:eastAsia="es-MX"/>
              </w:rPr>
              <w:t>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545EAE27" w:rsidR="00AE0E84" w:rsidRPr="0004135F" w:rsidRDefault="004F4FB2"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454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508</w:t>
            </w:r>
          </w:p>
        </w:tc>
        <w:tc>
          <w:tcPr>
            <w:tcW w:w="1214" w:type="dxa"/>
            <w:tcBorders>
              <w:top w:val="nil"/>
              <w:left w:val="nil"/>
              <w:bottom w:val="single" w:sz="8" w:space="0" w:color="auto"/>
              <w:right w:val="single" w:sz="8" w:space="0" w:color="auto"/>
            </w:tcBorders>
            <w:shd w:val="clear" w:color="auto" w:fill="auto"/>
            <w:noWrap/>
            <w:vAlign w:val="center"/>
          </w:tcPr>
          <w:p w14:paraId="2DD88D54" w14:textId="6B38D376"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12</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4FD5E9F1"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4F4FB2">
              <w:rPr>
                <w:rFonts w:eastAsia="Times New Roman" w:cstheme="minorHAnsi"/>
                <w:b/>
                <w:bCs/>
                <w:color w:val="000000"/>
                <w:sz w:val="20"/>
                <w:szCs w:val="18"/>
                <w:lang w:eastAsia="es-MX"/>
              </w:rPr>
              <w:t>5</w:t>
            </w:r>
            <w:r w:rsidR="00AE0E84" w:rsidRPr="00053994">
              <w:rPr>
                <w:rFonts w:eastAsia="Times New Roman" w:cstheme="minorHAnsi"/>
                <w:b/>
                <w:bCs/>
                <w:color w:val="000000"/>
                <w:sz w:val="20"/>
                <w:szCs w:val="18"/>
                <w:lang w:eastAsia="es-MX"/>
              </w:rPr>
              <w:t>,</w:t>
            </w:r>
            <w:r w:rsidR="004F4FB2">
              <w:rPr>
                <w:rFonts w:eastAsia="Times New Roman" w:cstheme="minorHAnsi"/>
                <w:b/>
                <w:bCs/>
                <w:color w:val="000000"/>
                <w:sz w:val="20"/>
                <w:szCs w:val="18"/>
                <w:lang w:eastAsia="es-MX"/>
              </w:rPr>
              <w:t>605</w:t>
            </w:r>
            <w:r w:rsidR="00AE0E84" w:rsidRPr="00053994">
              <w:rPr>
                <w:rFonts w:eastAsia="Times New Roman" w:cstheme="minorHAnsi"/>
                <w:b/>
                <w:bCs/>
                <w:color w:val="000000"/>
                <w:sz w:val="20"/>
                <w:szCs w:val="18"/>
                <w:lang w:eastAsia="es-MX"/>
              </w:rPr>
              <w:t>,</w:t>
            </w:r>
            <w:r w:rsidR="004F4FB2">
              <w:rPr>
                <w:rFonts w:eastAsia="Times New Roman" w:cstheme="minorHAnsi"/>
                <w:b/>
                <w:bCs/>
                <w:color w:val="000000"/>
                <w:sz w:val="20"/>
                <w:szCs w:val="18"/>
                <w:lang w:eastAsia="es-MX"/>
              </w:rPr>
              <w:t>006</w:t>
            </w:r>
            <w:r w:rsidR="00AE0E84" w:rsidRPr="00053994">
              <w:rPr>
                <w:rFonts w:eastAsia="Times New Roman" w:cstheme="minorHAnsi"/>
                <w:b/>
                <w:bCs/>
                <w:color w:val="000000"/>
                <w:sz w:val="20"/>
                <w:szCs w:val="18"/>
                <w:lang w:eastAsia="es-MX"/>
              </w:rPr>
              <w:t>,</w:t>
            </w:r>
            <w:r w:rsidR="004F4FB2">
              <w:rPr>
                <w:rFonts w:eastAsia="Times New Roman" w:cstheme="minorHAnsi"/>
                <w:b/>
                <w:bCs/>
                <w:color w:val="000000"/>
                <w:sz w:val="20"/>
                <w:szCs w:val="18"/>
                <w:lang w:eastAsia="es-MX"/>
              </w:rPr>
              <w:t>836</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2170220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B0E24">
        <w:rPr>
          <w:rFonts w:ascii="Arial" w:hAnsi="Arial" w:cs="Arial"/>
          <w:sz w:val="18"/>
          <w:szCs w:val="18"/>
        </w:rPr>
        <w:t>juni</w:t>
      </w:r>
      <w:r w:rsidR="00FE4134">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B0E24">
        <w:rPr>
          <w:rFonts w:ascii="Arial" w:hAnsi="Arial" w:cs="Arial"/>
          <w:sz w:val="18"/>
          <w:szCs w:val="18"/>
        </w:rPr>
        <w:t>1,344</w:t>
      </w:r>
      <w:r w:rsidR="0098545B">
        <w:rPr>
          <w:rFonts w:ascii="Arial" w:hAnsi="Arial" w:cs="Arial"/>
          <w:sz w:val="18"/>
          <w:szCs w:val="18"/>
        </w:rPr>
        <w:t>,</w:t>
      </w:r>
      <w:r w:rsidR="009B0E24">
        <w:rPr>
          <w:rFonts w:ascii="Arial" w:hAnsi="Arial" w:cs="Arial"/>
          <w:sz w:val="18"/>
          <w:szCs w:val="18"/>
        </w:rPr>
        <w:t>422</w:t>
      </w:r>
      <w:r w:rsidR="0098545B">
        <w:rPr>
          <w:rFonts w:ascii="Arial" w:hAnsi="Arial" w:cs="Arial"/>
          <w:sz w:val="18"/>
          <w:szCs w:val="18"/>
        </w:rPr>
        <w:t>,</w:t>
      </w:r>
      <w:r w:rsidR="009B0E24">
        <w:rPr>
          <w:rFonts w:ascii="Arial" w:hAnsi="Arial" w:cs="Arial"/>
          <w:sz w:val="18"/>
          <w:szCs w:val="18"/>
        </w:rPr>
        <w:t>528</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3C1DD64F"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B0E24">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B0E24">
        <w:rPr>
          <w:rFonts w:ascii="Arial" w:hAnsi="Arial" w:cs="Arial"/>
          <w:sz w:val="18"/>
          <w:szCs w:val="18"/>
        </w:rPr>
        <w:t>juni</w:t>
      </w:r>
      <w:r w:rsidR="00FE4134">
        <w:rPr>
          <w:rFonts w:ascii="Arial" w:hAnsi="Arial" w:cs="Arial"/>
          <w:sz w:val="18"/>
          <w:szCs w:val="18"/>
        </w:rPr>
        <w:t>o</w:t>
      </w:r>
      <w:r w:rsidR="00134F21">
        <w:rPr>
          <w:rFonts w:ascii="Arial" w:hAnsi="Arial" w:cs="Arial"/>
          <w:sz w:val="18"/>
          <w:szCs w:val="18"/>
        </w:rPr>
        <w:t xml:space="preserve"> por este concepto un monto de $</w:t>
      </w:r>
      <w:r w:rsidR="009B0E24">
        <w:rPr>
          <w:rFonts w:ascii="Arial" w:hAnsi="Arial" w:cs="Arial"/>
          <w:sz w:val="18"/>
          <w:szCs w:val="18"/>
        </w:rPr>
        <w:t>1,522</w:t>
      </w:r>
      <w:r w:rsidR="00134F21">
        <w:rPr>
          <w:rFonts w:ascii="Arial" w:hAnsi="Arial" w:cs="Arial"/>
          <w:sz w:val="18"/>
          <w:szCs w:val="18"/>
        </w:rPr>
        <w:t>,</w:t>
      </w:r>
      <w:r w:rsidR="009B0E24">
        <w:rPr>
          <w:rFonts w:ascii="Arial" w:hAnsi="Arial" w:cs="Arial"/>
          <w:sz w:val="18"/>
          <w:szCs w:val="18"/>
        </w:rPr>
        <w:t>917</w:t>
      </w:r>
      <w:r w:rsidR="00134F21">
        <w:rPr>
          <w:rFonts w:ascii="Arial" w:hAnsi="Arial" w:cs="Arial"/>
          <w:sz w:val="18"/>
          <w:szCs w:val="18"/>
        </w:rPr>
        <w:t>,</w:t>
      </w:r>
      <w:r w:rsidR="009B0E24">
        <w:rPr>
          <w:rFonts w:ascii="Arial" w:hAnsi="Arial" w:cs="Arial"/>
          <w:sz w:val="18"/>
          <w:szCs w:val="18"/>
        </w:rPr>
        <w:t>196</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9B0E24">
        <w:rPr>
          <w:rFonts w:ascii="Arial" w:hAnsi="Arial" w:cs="Arial"/>
          <w:sz w:val="18"/>
          <w:szCs w:val="18"/>
        </w:rPr>
        <w:t>53</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610538A4"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6258DA">
        <w:rPr>
          <w:rFonts w:ascii="Arial" w:hAnsi="Arial" w:cs="Arial"/>
          <w:sz w:val="18"/>
          <w:szCs w:val="18"/>
        </w:rPr>
        <w:t>1</w:t>
      </w:r>
      <w:r w:rsidR="00355E3E">
        <w:rPr>
          <w:rFonts w:ascii="Arial" w:hAnsi="Arial" w:cs="Arial"/>
          <w:sz w:val="18"/>
          <w:szCs w:val="18"/>
        </w:rPr>
        <w:t>20</w:t>
      </w:r>
      <w:r>
        <w:rPr>
          <w:rFonts w:ascii="Arial" w:hAnsi="Arial" w:cs="Arial"/>
          <w:sz w:val="18"/>
          <w:szCs w:val="18"/>
        </w:rPr>
        <w:t>,</w:t>
      </w:r>
      <w:r w:rsidR="006258DA">
        <w:rPr>
          <w:rFonts w:ascii="Arial" w:hAnsi="Arial" w:cs="Arial"/>
          <w:sz w:val="18"/>
          <w:szCs w:val="18"/>
        </w:rPr>
        <w:t>12</w:t>
      </w:r>
      <w:r w:rsidR="00355E3E">
        <w:rPr>
          <w:rFonts w:ascii="Arial" w:hAnsi="Arial" w:cs="Arial"/>
          <w:sz w:val="18"/>
          <w:szCs w:val="18"/>
        </w:rPr>
        <w:t>5</w:t>
      </w:r>
      <w:r>
        <w:rPr>
          <w:rFonts w:ascii="Arial" w:hAnsi="Arial" w:cs="Arial"/>
          <w:sz w:val="18"/>
          <w:szCs w:val="18"/>
        </w:rPr>
        <w:t>,</w:t>
      </w:r>
      <w:r w:rsidR="006258DA">
        <w:rPr>
          <w:rFonts w:ascii="Arial" w:hAnsi="Arial" w:cs="Arial"/>
          <w:sz w:val="18"/>
          <w:szCs w:val="18"/>
        </w:rPr>
        <w:t>442</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21450C05"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6258DA">
        <w:rPr>
          <w:rFonts w:ascii="Arial" w:hAnsi="Arial" w:cs="Arial"/>
          <w:sz w:val="18"/>
          <w:szCs w:val="18"/>
        </w:rPr>
        <w:t>juni</w:t>
      </w:r>
      <w:r w:rsidR="00355E3E">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6258DA">
        <w:rPr>
          <w:rFonts w:ascii="Arial" w:hAnsi="Arial" w:cs="Arial"/>
          <w:sz w:val="18"/>
          <w:szCs w:val="18"/>
        </w:rPr>
        <w:t>144</w:t>
      </w:r>
      <w:r w:rsidR="009E71C0">
        <w:rPr>
          <w:rFonts w:ascii="Arial" w:hAnsi="Arial" w:cs="Arial"/>
          <w:sz w:val="18"/>
          <w:szCs w:val="18"/>
        </w:rPr>
        <w:t>,</w:t>
      </w:r>
      <w:r w:rsidR="006258DA">
        <w:rPr>
          <w:rFonts w:ascii="Arial" w:hAnsi="Arial" w:cs="Arial"/>
          <w:sz w:val="18"/>
          <w:szCs w:val="18"/>
        </w:rPr>
        <w:t>050</w:t>
      </w:r>
      <w:r w:rsidR="00BA3B1D">
        <w:rPr>
          <w:rFonts w:ascii="Arial" w:hAnsi="Arial" w:cs="Arial"/>
          <w:sz w:val="18"/>
          <w:szCs w:val="18"/>
        </w:rPr>
        <w:t>,</w:t>
      </w:r>
      <w:r w:rsidR="006258DA">
        <w:rPr>
          <w:rFonts w:ascii="Arial" w:hAnsi="Arial" w:cs="Arial"/>
          <w:sz w:val="18"/>
          <w:szCs w:val="18"/>
        </w:rPr>
        <w:t>600</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6258DA">
        <w:rPr>
          <w:rFonts w:ascii="Arial" w:hAnsi="Arial" w:cs="Arial"/>
          <w:sz w:val="18"/>
          <w:szCs w:val="18"/>
        </w:rPr>
        <w:t>73</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26185E4"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6258DA">
        <w:rPr>
          <w:rFonts w:ascii="Arial" w:hAnsi="Arial" w:cs="Arial"/>
          <w:sz w:val="18"/>
          <w:szCs w:val="18"/>
        </w:rPr>
        <w:t>juni</w:t>
      </w:r>
      <w:r w:rsidR="00355E3E">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2A7C42">
        <w:rPr>
          <w:rFonts w:ascii="Arial" w:hAnsi="Arial" w:cs="Arial"/>
          <w:sz w:val="18"/>
          <w:szCs w:val="18"/>
        </w:rPr>
        <w:t>7</w:t>
      </w:r>
      <w:r w:rsidR="001A78A4">
        <w:rPr>
          <w:rFonts w:ascii="Arial" w:hAnsi="Arial" w:cs="Arial"/>
          <w:sz w:val="18"/>
          <w:szCs w:val="18"/>
        </w:rPr>
        <w:t>,</w:t>
      </w:r>
      <w:r w:rsidR="00355E3E">
        <w:rPr>
          <w:rFonts w:ascii="Arial" w:hAnsi="Arial" w:cs="Arial"/>
          <w:sz w:val="18"/>
          <w:szCs w:val="18"/>
        </w:rPr>
        <w:t>3</w:t>
      </w:r>
      <w:r w:rsidR="002A7C42">
        <w:rPr>
          <w:rFonts w:ascii="Arial" w:hAnsi="Arial" w:cs="Arial"/>
          <w:sz w:val="18"/>
          <w:szCs w:val="18"/>
        </w:rPr>
        <w:t>34</w:t>
      </w:r>
      <w:r>
        <w:rPr>
          <w:rFonts w:ascii="Arial" w:hAnsi="Arial" w:cs="Arial"/>
          <w:sz w:val="18"/>
          <w:szCs w:val="18"/>
        </w:rPr>
        <w:t>,</w:t>
      </w:r>
      <w:r w:rsidR="002A7C42">
        <w:rPr>
          <w:rFonts w:ascii="Arial" w:hAnsi="Arial" w:cs="Arial"/>
          <w:sz w:val="18"/>
          <w:szCs w:val="18"/>
        </w:rPr>
        <w:t>662</w:t>
      </w:r>
      <w:r>
        <w:rPr>
          <w:rFonts w:ascii="Arial" w:hAnsi="Arial" w:cs="Arial"/>
          <w:sz w:val="18"/>
          <w:szCs w:val="18"/>
        </w:rPr>
        <w:t>,</w:t>
      </w:r>
      <w:r w:rsidR="002A7C42">
        <w:rPr>
          <w:rFonts w:ascii="Arial" w:hAnsi="Arial" w:cs="Arial"/>
          <w:sz w:val="18"/>
          <w:szCs w:val="18"/>
        </w:rPr>
        <w:t>563</w:t>
      </w:r>
      <w:r>
        <w:rPr>
          <w:rFonts w:ascii="Arial" w:hAnsi="Arial" w:cs="Arial"/>
          <w:sz w:val="18"/>
          <w:szCs w:val="18"/>
        </w:rPr>
        <w:t xml:space="preserve"> de los cuales los principales sectores que reciben estas asignaciones son el sector educativo al cual le corresponde el </w:t>
      </w:r>
      <w:r w:rsidR="002A7C42">
        <w:rPr>
          <w:rFonts w:ascii="Arial" w:hAnsi="Arial" w:cs="Arial"/>
          <w:sz w:val="18"/>
          <w:szCs w:val="18"/>
        </w:rPr>
        <w:t>59</w:t>
      </w:r>
      <w:r w:rsidR="00355E3E">
        <w:rPr>
          <w:rFonts w:ascii="Arial" w:hAnsi="Arial" w:cs="Arial"/>
          <w:sz w:val="18"/>
          <w:szCs w:val="18"/>
        </w:rPr>
        <w:t>%</w:t>
      </w:r>
      <w:r>
        <w:rPr>
          <w:rFonts w:ascii="Arial" w:hAnsi="Arial" w:cs="Arial"/>
          <w:sz w:val="18"/>
          <w:szCs w:val="18"/>
        </w:rPr>
        <w:t xml:space="preserve"> y el sector salud con un </w:t>
      </w:r>
      <w:r w:rsidR="002A7C42">
        <w:rPr>
          <w:rFonts w:ascii="Arial" w:hAnsi="Arial" w:cs="Arial"/>
          <w:sz w:val="18"/>
          <w:szCs w:val="18"/>
        </w:rPr>
        <w:t>28</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2A7C42">
        <w:rPr>
          <w:rFonts w:ascii="Arial" w:hAnsi="Arial" w:cs="Arial"/>
          <w:sz w:val="18"/>
          <w:szCs w:val="18"/>
        </w:rPr>
        <w:t>9</w:t>
      </w:r>
      <w:r>
        <w:rPr>
          <w:rFonts w:ascii="Arial" w:hAnsi="Arial" w:cs="Arial"/>
          <w:sz w:val="18"/>
          <w:szCs w:val="18"/>
        </w:rPr>
        <w:t>% a otros organismos del sector público</w:t>
      </w:r>
      <w:r w:rsidR="00155DFE">
        <w:rPr>
          <w:rFonts w:ascii="Arial" w:hAnsi="Arial" w:cs="Arial"/>
          <w:sz w:val="18"/>
          <w:szCs w:val="18"/>
        </w:rPr>
        <w:t xml:space="preserve"> y el restante </w:t>
      </w:r>
      <w:r w:rsidR="002A7C42">
        <w:rPr>
          <w:rFonts w:ascii="Arial" w:hAnsi="Arial" w:cs="Arial"/>
          <w:sz w:val="18"/>
          <w:szCs w:val="18"/>
        </w:rPr>
        <w:t>4</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0C766D89"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2A7C42">
        <w:rPr>
          <w:rFonts w:ascii="Arial" w:hAnsi="Arial" w:cs="Arial"/>
          <w:sz w:val="18"/>
          <w:szCs w:val="18"/>
        </w:rPr>
        <w:t>juni</w:t>
      </w:r>
      <w:r w:rsidR="00355E3E">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2A7C42">
        <w:rPr>
          <w:rFonts w:ascii="Arial" w:hAnsi="Arial" w:cs="Arial"/>
          <w:sz w:val="18"/>
          <w:szCs w:val="18"/>
        </w:rPr>
        <w:t>2</w:t>
      </w:r>
      <w:r w:rsidR="00303EA9">
        <w:rPr>
          <w:rFonts w:ascii="Arial" w:hAnsi="Arial" w:cs="Arial"/>
          <w:sz w:val="18"/>
          <w:szCs w:val="18"/>
        </w:rPr>
        <w:t>,</w:t>
      </w:r>
      <w:r w:rsidR="002A7C42">
        <w:rPr>
          <w:rFonts w:ascii="Arial" w:hAnsi="Arial" w:cs="Arial"/>
          <w:sz w:val="18"/>
          <w:szCs w:val="18"/>
        </w:rPr>
        <w:t>694</w:t>
      </w:r>
      <w:r>
        <w:rPr>
          <w:rFonts w:ascii="Arial" w:hAnsi="Arial" w:cs="Arial"/>
          <w:sz w:val="18"/>
          <w:szCs w:val="18"/>
        </w:rPr>
        <w:t>,</w:t>
      </w:r>
      <w:r w:rsidR="002A7C42">
        <w:rPr>
          <w:rFonts w:ascii="Arial" w:hAnsi="Arial" w:cs="Arial"/>
          <w:sz w:val="18"/>
          <w:szCs w:val="18"/>
        </w:rPr>
        <w:t>487</w:t>
      </w:r>
      <w:r>
        <w:rPr>
          <w:rFonts w:ascii="Arial" w:hAnsi="Arial" w:cs="Arial"/>
          <w:sz w:val="18"/>
          <w:szCs w:val="18"/>
        </w:rPr>
        <w:t>,</w:t>
      </w:r>
      <w:r w:rsidR="002A7C42">
        <w:rPr>
          <w:rFonts w:ascii="Arial" w:hAnsi="Arial" w:cs="Arial"/>
          <w:sz w:val="18"/>
          <w:szCs w:val="18"/>
        </w:rPr>
        <w:t>835</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w:t>
      </w:r>
      <w:r>
        <w:rPr>
          <w:rFonts w:ascii="Arial" w:hAnsi="Arial" w:cs="Arial"/>
          <w:sz w:val="18"/>
          <w:szCs w:val="18"/>
        </w:rPr>
        <w:lastRenderedPageBreak/>
        <w:t>correspondiente a</w:t>
      </w:r>
      <w:r w:rsidRPr="00DE62C8">
        <w:rPr>
          <w:rFonts w:ascii="Arial" w:hAnsi="Arial" w:cs="Arial"/>
          <w:sz w:val="18"/>
          <w:szCs w:val="18"/>
        </w:rPr>
        <w:t xml:space="preserve">l </w:t>
      </w:r>
      <w:r w:rsidR="002A7C42">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2A7C4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2A7C42">
        <w:rPr>
          <w:rFonts w:ascii="Arial" w:hAnsi="Arial" w:cs="Arial"/>
          <w:sz w:val="18"/>
          <w:szCs w:val="18"/>
        </w:rPr>
        <w:t>junio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2A7C42">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0D3A3494"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2A7C42">
        <w:rPr>
          <w:rFonts w:ascii="Arial" w:hAnsi="Arial" w:cs="Arial"/>
          <w:sz w:val="18"/>
          <w:szCs w:val="18"/>
        </w:rPr>
        <w:t>4</w:t>
      </w:r>
      <w:r>
        <w:rPr>
          <w:rFonts w:ascii="Arial" w:hAnsi="Arial" w:cs="Arial"/>
          <w:sz w:val="18"/>
          <w:szCs w:val="18"/>
        </w:rPr>
        <w:t>,</w:t>
      </w:r>
      <w:r w:rsidR="002A7C42">
        <w:rPr>
          <w:rFonts w:ascii="Arial" w:hAnsi="Arial" w:cs="Arial"/>
          <w:sz w:val="18"/>
          <w:szCs w:val="18"/>
        </w:rPr>
        <w:t>741</w:t>
      </w:r>
      <w:r>
        <w:rPr>
          <w:rFonts w:ascii="Arial" w:hAnsi="Arial" w:cs="Arial"/>
          <w:sz w:val="18"/>
          <w:szCs w:val="18"/>
        </w:rPr>
        <w:t>,</w:t>
      </w:r>
      <w:r w:rsidR="002A7C42">
        <w:rPr>
          <w:rFonts w:ascii="Arial" w:hAnsi="Arial" w:cs="Arial"/>
          <w:sz w:val="18"/>
          <w:szCs w:val="18"/>
        </w:rPr>
        <w:t>133</w:t>
      </w:r>
      <w:r>
        <w:rPr>
          <w:rFonts w:ascii="Arial" w:hAnsi="Arial" w:cs="Arial"/>
          <w:sz w:val="18"/>
          <w:szCs w:val="18"/>
        </w:rPr>
        <w:t>,</w:t>
      </w:r>
      <w:r w:rsidR="002A7C42">
        <w:rPr>
          <w:rFonts w:ascii="Arial" w:hAnsi="Arial" w:cs="Arial"/>
          <w:sz w:val="18"/>
          <w:szCs w:val="18"/>
        </w:rPr>
        <w:t>712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2A7C42">
        <w:rPr>
          <w:rFonts w:ascii="Arial" w:hAnsi="Arial" w:cs="Arial"/>
          <w:sz w:val="18"/>
          <w:szCs w:val="18"/>
        </w:rPr>
        <w:t>segundo</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2A7C42">
        <w:rPr>
          <w:rFonts w:ascii="Arial" w:hAnsi="Arial" w:cs="Arial"/>
          <w:sz w:val="18"/>
          <w:szCs w:val="18"/>
        </w:rPr>
        <w:t>1,843</w:t>
      </w:r>
      <w:r>
        <w:rPr>
          <w:rFonts w:ascii="Arial" w:hAnsi="Arial" w:cs="Arial"/>
          <w:sz w:val="18"/>
          <w:szCs w:val="18"/>
        </w:rPr>
        <w:t>,</w:t>
      </w:r>
      <w:r w:rsidR="002A7C42">
        <w:rPr>
          <w:rFonts w:ascii="Arial" w:hAnsi="Arial" w:cs="Arial"/>
          <w:sz w:val="18"/>
          <w:szCs w:val="18"/>
        </w:rPr>
        <w:t>412</w:t>
      </w:r>
      <w:r>
        <w:rPr>
          <w:rFonts w:ascii="Arial" w:hAnsi="Arial" w:cs="Arial"/>
          <w:sz w:val="18"/>
          <w:szCs w:val="18"/>
        </w:rPr>
        <w:t>,</w:t>
      </w:r>
      <w:r w:rsidR="002A7C42">
        <w:rPr>
          <w:rFonts w:ascii="Arial" w:hAnsi="Arial" w:cs="Arial"/>
          <w:sz w:val="18"/>
          <w:szCs w:val="18"/>
        </w:rPr>
        <w:t>90</w:t>
      </w:r>
      <w:r w:rsidR="00B143E2">
        <w:rPr>
          <w:rFonts w:ascii="Arial" w:hAnsi="Arial" w:cs="Arial"/>
          <w:sz w:val="18"/>
          <w:szCs w:val="18"/>
        </w:rPr>
        <w:t>0</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000E3D8B"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0F3BF5">
        <w:rPr>
          <w:rFonts w:ascii="Arial" w:hAnsi="Arial" w:cs="Arial"/>
          <w:sz w:val="18"/>
          <w:szCs w:val="18"/>
        </w:rPr>
        <w:t>7</w:t>
      </w:r>
      <w:r>
        <w:rPr>
          <w:rFonts w:ascii="Arial" w:hAnsi="Arial" w:cs="Arial"/>
          <w:sz w:val="18"/>
          <w:szCs w:val="18"/>
        </w:rPr>
        <w:t>,</w:t>
      </w:r>
      <w:r w:rsidR="000F3BF5">
        <w:rPr>
          <w:rFonts w:ascii="Arial" w:hAnsi="Arial" w:cs="Arial"/>
          <w:sz w:val="18"/>
          <w:szCs w:val="18"/>
        </w:rPr>
        <w:t>470</w:t>
      </w:r>
      <w:r>
        <w:rPr>
          <w:rFonts w:ascii="Arial" w:hAnsi="Arial" w:cs="Arial"/>
          <w:sz w:val="18"/>
          <w:szCs w:val="18"/>
        </w:rPr>
        <w:t>,</w:t>
      </w:r>
      <w:r w:rsidR="000F3BF5">
        <w:rPr>
          <w:rFonts w:ascii="Arial" w:hAnsi="Arial" w:cs="Arial"/>
          <w:sz w:val="18"/>
          <w:szCs w:val="18"/>
        </w:rPr>
        <w:t>042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0F3BF5">
        <w:rPr>
          <w:rFonts w:ascii="Arial" w:hAnsi="Arial" w:cs="Arial"/>
          <w:sz w:val="18"/>
          <w:szCs w:val="18"/>
        </w:rPr>
        <w:t>segundo</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0F3BF5">
        <w:rPr>
          <w:rFonts w:ascii="Arial" w:hAnsi="Arial" w:cs="Arial"/>
          <w:sz w:val="18"/>
          <w:szCs w:val="18"/>
        </w:rPr>
        <w:t>5</w:t>
      </w:r>
      <w:r>
        <w:rPr>
          <w:rFonts w:ascii="Arial" w:hAnsi="Arial" w:cs="Arial"/>
          <w:sz w:val="18"/>
          <w:szCs w:val="18"/>
        </w:rPr>
        <w:t>,</w:t>
      </w:r>
      <w:r w:rsidR="000F3BF5">
        <w:rPr>
          <w:rFonts w:ascii="Arial" w:hAnsi="Arial" w:cs="Arial"/>
          <w:sz w:val="18"/>
          <w:szCs w:val="18"/>
        </w:rPr>
        <w:t>777</w:t>
      </w:r>
      <w:r>
        <w:rPr>
          <w:rFonts w:ascii="Arial" w:hAnsi="Arial" w:cs="Arial"/>
          <w:sz w:val="18"/>
          <w:szCs w:val="18"/>
        </w:rPr>
        <w:t>,</w:t>
      </w:r>
      <w:r w:rsidR="000F3BF5">
        <w:rPr>
          <w:rFonts w:ascii="Arial" w:hAnsi="Arial" w:cs="Arial"/>
          <w:sz w:val="18"/>
          <w:szCs w:val="18"/>
        </w:rPr>
        <w:t>282</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6995AA68"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0F3BF5">
        <w:rPr>
          <w:rFonts w:ascii="Arial" w:hAnsi="Arial" w:cs="Arial"/>
          <w:sz w:val="18"/>
          <w:szCs w:val="18"/>
        </w:rPr>
        <w:t>segundo</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0F3BF5">
        <w:rPr>
          <w:rFonts w:ascii="Arial" w:hAnsi="Arial" w:cs="Arial"/>
          <w:sz w:val="18"/>
          <w:szCs w:val="18"/>
        </w:rPr>
        <w:t>158,914,926</w:t>
      </w:r>
      <w:r>
        <w:rPr>
          <w:rFonts w:ascii="Arial" w:hAnsi="Arial" w:cs="Arial"/>
          <w:sz w:val="18"/>
          <w:szCs w:val="18"/>
        </w:rPr>
        <w:t>.00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6B684FDD"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386D06">
        <w:rPr>
          <w:rFonts w:ascii="Arial" w:hAnsi="Arial" w:cs="Arial"/>
          <w:sz w:val="18"/>
          <w:szCs w:val="18"/>
        </w:rPr>
        <w:t>segundo</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4F7EABF7"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386D06">
        <w:rPr>
          <w:rFonts w:ascii="Arial" w:hAnsi="Arial" w:cs="Arial"/>
          <w:sz w:val="18"/>
          <w:szCs w:val="18"/>
        </w:rPr>
        <w:t>segundo</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$34</w:t>
      </w:r>
      <w:r w:rsidR="00386D06">
        <w:rPr>
          <w:rFonts w:ascii="Arial" w:hAnsi="Arial" w:cs="Arial"/>
          <w:sz w:val="18"/>
          <w:szCs w:val="18"/>
        </w:rPr>
        <w:t>9</w:t>
      </w:r>
      <w:r>
        <w:rPr>
          <w:rFonts w:ascii="Arial" w:hAnsi="Arial" w:cs="Arial"/>
          <w:sz w:val="18"/>
          <w:szCs w:val="18"/>
        </w:rPr>
        <w:t>,</w:t>
      </w:r>
      <w:r w:rsidR="00386D06">
        <w:rPr>
          <w:rFonts w:ascii="Arial" w:hAnsi="Arial" w:cs="Arial"/>
          <w:sz w:val="18"/>
          <w:szCs w:val="18"/>
        </w:rPr>
        <w:t>538</w:t>
      </w:r>
      <w:r>
        <w:rPr>
          <w:rFonts w:ascii="Arial" w:hAnsi="Arial" w:cs="Arial"/>
          <w:sz w:val="18"/>
          <w:szCs w:val="18"/>
        </w:rPr>
        <w:t>,</w:t>
      </w:r>
      <w:r w:rsidR="00386D06">
        <w:rPr>
          <w:rFonts w:ascii="Arial" w:hAnsi="Arial" w:cs="Arial"/>
          <w:sz w:val="18"/>
          <w:szCs w:val="18"/>
        </w:rPr>
        <w:t>792</w:t>
      </w:r>
      <w:r>
        <w:rPr>
          <w:rFonts w:ascii="Arial" w:hAnsi="Arial" w:cs="Arial"/>
          <w:sz w:val="18"/>
          <w:szCs w:val="18"/>
        </w:rPr>
        <w:t>,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689ED64F"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386D06">
        <w:rPr>
          <w:rFonts w:ascii="Arial" w:hAnsi="Arial" w:cs="Arial"/>
          <w:sz w:val="18"/>
          <w:szCs w:val="18"/>
        </w:rPr>
        <w:t>segundo</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2,7</w:t>
      </w:r>
      <w:r w:rsidR="00386D06">
        <w:rPr>
          <w:rFonts w:ascii="Arial" w:hAnsi="Arial" w:cs="Arial"/>
          <w:sz w:val="18"/>
          <w:szCs w:val="18"/>
        </w:rPr>
        <w:t>74</w:t>
      </w:r>
      <w:r>
        <w:rPr>
          <w:rFonts w:ascii="Arial" w:hAnsi="Arial" w:cs="Arial"/>
          <w:sz w:val="18"/>
          <w:szCs w:val="18"/>
        </w:rPr>
        <w:t>,</w:t>
      </w:r>
      <w:r w:rsidR="00386D06">
        <w:rPr>
          <w:rFonts w:ascii="Arial" w:hAnsi="Arial" w:cs="Arial"/>
          <w:sz w:val="18"/>
          <w:szCs w:val="18"/>
        </w:rPr>
        <w:t>815</w:t>
      </w:r>
      <w:r>
        <w:rPr>
          <w:rFonts w:ascii="Arial" w:hAnsi="Arial" w:cs="Arial"/>
          <w:sz w:val="18"/>
          <w:szCs w:val="18"/>
        </w:rPr>
        <w:t>,</w:t>
      </w:r>
      <w:r w:rsidR="00386D06">
        <w:rPr>
          <w:rFonts w:ascii="Arial" w:hAnsi="Arial" w:cs="Arial"/>
          <w:sz w:val="18"/>
          <w:szCs w:val="18"/>
        </w:rPr>
        <w:t>314</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386D06">
        <w:rPr>
          <w:rFonts w:ascii="Arial" w:hAnsi="Arial" w:cs="Arial"/>
          <w:sz w:val="18"/>
          <w:szCs w:val="18"/>
        </w:rPr>
        <w:t>2</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01BD29F5"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143E2">
        <w:rPr>
          <w:rFonts w:ascii="Arial" w:hAnsi="Arial" w:cs="Arial"/>
          <w:sz w:val="18"/>
          <w:szCs w:val="18"/>
        </w:rPr>
        <w:t>7</w:t>
      </w:r>
      <w:r w:rsidR="00386D06">
        <w:rPr>
          <w:rFonts w:ascii="Arial" w:hAnsi="Arial" w:cs="Arial"/>
          <w:sz w:val="18"/>
          <w:szCs w:val="18"/>
        </w:rPr>
        <w:t>34</w:t>
      </w:r>
      <w:r w:rsidRPr="00F619D6">
        <w:rPr>
          <w:rFonts w:ascii="Arial" w:hAnsi="Arial" w:cs="Arial"/>
          <w:sz w:val="18"/>
          <w:szCs w:val="18"/>
        </w:rPr>
        <w:t>,</w:t>
      </w:r>
      <w:r w:rsidR="00B143E2">
        <w:rPr>
          <w:rFonts w:ascii="Arial" w:hAnsi="Arial" w:cs="Arial"/>
          <w:sz w:val="18"/>
          <w:szCs w:val="18"/>
        </w:rPr>
        <w:t>6</w:t>
      </w:r>
      <w:r w:rsidR="00386D06">
        <w:rPr>
          <w:rFonts w:ascii="Arial" w:hAnsi="Arial" w:cs="Arial"/>
          <w:sz w:val="18"/>
          <w:szCs w:val="18"/>
        </w:rPr>
        <w:t>41</w:t>
      </w:r>
      <w:r w:rsidRPr="00F619D6">
        <w:rPr>
          <w:rFonts w:ascii="Arial" w:hAnsi="Arial" w:cs="Arial"/>
          <w:sz w:val="18"/>
          <w:szCs w:val="18"/>
        </w:rPr>
        <w:t>,</w:t>
      </w:r>
      <w:r w:rsidR="00386D06">
        <w:rPr>
          <w:rFonts w:ascii="Arial" w:hAnsi="Arial" w:cs="Arial"/>
          <w:sz w:val="18"/>
          <w:szCs w:val="18"/>
        </w:rPr>
        <w:t>695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B143E2">
        <w:rPr>
          <w:rFonts w:ascii="Arial" w:hAnsi="Arial" w:cs="Arial"/>
          <w:sz w:val="18"/>
          <w:szCs w:val="18"/>
        </w:rPr>
        <w:t>de</w:t>
      </w:r>
      <w:r>
        <w:rPr>
          <w:rFonts w:ascii="Arial" w:hAnsi="Arial" w:cs="Arial"/>
          <w:sz w:val="18"/>
          <w:szCs w:val="18"/>
        </w:rPr>
        <w:t xml:space="preserve">cremento </w:t>
      </w:r>
      <w:r w:rsidR="00B143E2">
        <w:rPr>
          <w:rFonts w:ascii="Arial" w:hAnsi="Arial" w:cs="Arial"/>
          <w:sz w:val="18"/>
          <w:szCs w:val="18"/>
        </w:rPr>
        <w:t>cercano a</w:t>
      </w:r>
      <w:r>
        <w:rPr>
          <w:rFonts w:ascii="Arial" w:hAnsi="Arial" w:cs="Arial"/>
          <w:sz w:val="18"/>
          <w:szCs w:val="18"/>
        </w:rPr>
        <w:t>l 1% respecto al ejercicio de 202</w:t>
      </w:r>
      <w:r w:rsidR="00B143E2">
        <w:rPr>
          <w:rFonts w:ascii="Arial" w:hAnsi="Arial" w:cs="Arial"/>
          <w:sz w:val="18"/>
          <w:szCs w:val="18"/>
        </w:rPr>
        <w:t>3</w:t>
      </w:r>
      <w:r>
        <w:rPr>
          <w:rFonts w:ascii="Arial" w:hAnsi="Arial" w:cs="Arial"/>
          <w:sz w:val="18"/>
          <w:szCs w:val="18"/>
        </w:rPr>
        <w:t>.</w:t>
      </w:r>
    </w:p>
    <w:p w14:paraId="16743E1D" w14:textId="232547AD"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$22</w:t>
      </w:r>
      <w:r w:rsidR="00386D06">
        <w:rPr>
          <w:rFonts w:ascii="Arial" w:hAnsi="Arial" w:cs="Arial"/>
          <w:sz w:val="18"/>
          <w:szCs w:val="18"/>
        </w:rPr>
        <w:t>9</w:t>
      </w:r>
      <w:r>
        <w:rPr>
          <w:rFonts w:ascii="Arial" w:hAnsi="Arial" w:cs="Arial"/>
          <w:sz w:val="18"/>
          <w:szCs w:val="18"/>
        </w:rPr>
        <w:t>,</w:t>
      </w:r>
      <w:r w:rsidR="00386D06">
        <w:rPr>
          <w:rFonts w:ascii="Arial" w:hAnsi="Arial" w:cs="Arial"/>
          <w:sz w:val="18"/>
          <w:szCs w:val="18"/>
        </w:rPr>
        <w:t>316</w:t>
      </w:r>
      <w:r>
        <w:rPr>
          <w:rFonts w:ascii="Arial" w:hAnsi="Arial" w:cs="Arial"/>
          <w:sz w:val="18"/>
          <w:szCs w:val="18"/>
        </w:rPr>
        <w:t>,87</w:t>
      </w:r>
      <w:r w:rsidR="00386D06">
        <w:rPr>
          <w:rFonts w:ascii="Arial" w:hAnsi="Arial" w:cs="Arial"/>
          <w:sz w:val="18"/>
          <w:szCs w:val="18"/>
        </w:rPr>
        <w:t>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observándose una variación del 1% en relación al ejercicio de 202</w:t>
      </w:r>
      <w:r w:rsidR="00B143E2">
        <w:rPr>
          <w:rFonts w:ascii="Arial" w:hAnsi="Arial" w:cs="Arial"/>
          <w:sz w:val="18"/>
          <w:szCs w:val="18"/>
        </w:rPr>
        <w:t>3</w:t>
      </w:r>
      <w:r w:rsidRPr="00137E93">
        <w:rPr>
          <w:rFonts w:ascii="Arial" w:hAnsi="Arial" w:cs="Arial"/>
          <w:sz w:val="18"/>
          <w:szCs w:val="18"/>
        </w:rPr>
        <w:t>.</w:t>
      </w:r>
    </w:p>
    <w:p w14:paraId="047F9BE8" w14:textId="77777777" w:rsidR="00637C9C" w:rsidRDefault="00637C9C" w:rsidP="00637C9C">
      <w:pPr>
        <w:pStyle w:val="ROMANOS"/>
        <w:tabs>
          <w:tab w:val="clear" w:pos="720"/>
          <w:tab w:val="left" w:pos="284"/>
        </w:tabs>
        <w:spacing w:after="0" w:line="276" w:lineRule="auto"/>
        <w:ind w:left="284" w:firstLine="0"/>
        <w:rPr>
          <w:b/>
          <w:lang w:val="es-MX"/>
        </w:rPr>
      </w:pPr>
    </w:p>
    <w:p w14:paraId="2C2C9958" w14:textId="77777777" w:rsidR="009C1642" w:rsidRDefault="009C1642" w:rsidP="00637C9C">
      <w:pPr>
        <w:pStyle w:val="ROMANOS"/>
        <w:tabs>
          <w:tab w:val="clear" w:pos="720"/>
          <w:tab w:val="left" w:pos="284"/>
        </w:tabs>
        <w:spacing w:after="0" w:line="276" w:lineRule="auto"/>
        <w:ind w:left="284" w:firstLine="0"/>
        <w:rPr>
          <w:b/>
          <w:lang w:val="es-MX"/>
        </w:rPr>
      </w:pPr>
    </w:p>
    <w:p w14:paraId="2E8CBDB1" w14:textId="77777777" w:rsidR="00637C9C" w:rsidRDefault="00637C9C" w:rsidP="00637C9C">
      <w:pPr>
        <w:pStyle w:val="ROMANOS"/>
        <w:tabs>
          <w:tab w:val="clear" w:pos="720"/>
          <w:tab w:val="left" w:pos="284"/>
        </w:tabs>
        <w:spacing w:after="0" w:line="276" w:lineRule="auto"/>
        <w:ind w:left="284" w:firstLine="0"/>
        <w:rPr>
          <w:b/>
          <w:lang w:val="es-MX"/>
        </w:rPr>
      </w:pPr>
    </w:p>
    <w:p w14:paraId="1508C4DB" w14:textId="77777777"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lastRenderedPageBreak/>
        <w:t>Depreciación, Deterioro y Amortización Acumulada de Bienes</w:t>
      </w:r>
    </w:p>
    <w:p w14:paraId="0C74D570" w14:textId="77777777" w:rsidR="00637C9C" w:rsidRPr="00FB6E0E" w:rsidRDefault="00637C9C" w:rsidP="00637C9C">
      <w:pPr>
        <w:pStyle w:val="ROMANOS"/>
        <w:tabs>
          <w:tab w:val="clear" w:pos="720"/>
          <w:tab w:val="left" w:pos="284"/>
        </w:tabs>
        <w:spacing w:after="0" w:line="276" w:lineRule="auto"/>
        <w:ind w:left="284" w:firstLine="0"/>
        <w:rPr>
          <w:b/>
          <w:lang w:val="es-MX"/>
        </w:rPr>
      </w:pP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136C9D0E"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386D06">
        <w:rPr>
          <w:rFonts w:ascii="Arial" w:hAnsi="Arial" w:cs="Arial"/>
          <w:sz w:val="18"/>
          <w:szCs w:val="18"/>
        </w:rPr>
        <w:t>juni</w:t>
      </w:r>
      <w:r w:rsidR="00B143E2">
        <w:rPr>
          <w:rFonts w:ascii="Arial" w:hAnsi="Arial" w:cs="Arial"/>
          <w:sz w:val="18"/>
          <w:szCs w:val="18"/>
        </w:rPr>
        <w:t>o</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1206A851"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B143E2">
        <w:rPr>
          <w:rFonts w:ascii="Arial" w:hAnsi="Arial" w:cs="Arial"/>
          <w:sz w:val="18"/>
          <w:szCs w:val="18"/>
        </w:rPr>
        <w:t>1</w:t>
      </w:r>
      <w:r w:rsidR="00386D06">
        <w:rPr>
          <w:rFonts w:ascii="Arial" w:hAnsi="Arial" w:cs="Arial"/>
          <w:sz w:val="18"/>
          <w:szCs w:val="18"/>
        </w:rPr>
        <w:t>83</w:t>
      </w:r>
      <w:r>
        <w:rPr>
          <w:rFonts w:ascii="Arial" w:hAnsi="Arial" w:cs="Arial"/>
          <w:sz w:val="18"/>
          <w:szCs w:val="18"/>
        </w:rPr>
        <w:t>,</w:t>
      </w:r>
      <w:r w:rsidR="00386D06">
        <w:rPr>
          <w:rFonts w:ascii="Arial" w:hAnsi="Arial" w:cs="Arial"/>
          <w:sz w:val="18"/>
          <w:szCs w:val="18"/>
        </w:rPr>
        <w:t>303</w:t>
      </w:r>
      <w:r>
        <w:rPr>
          <w:rFonts w:ascii="Arial" w:hAnsi="Arial" w:cs="Arial"/>
          <w:sz w:val="18"/>
          <w:szCs w:val="18"/>
        </w:rPr>
        <w:t>,</w:t>
      </w:r>
      <w:r w:rsidR="00386D06">
        <w:rPr>
          <w:rFonts w:ascii="Arial" w:hAnsi="Arial" w:cs="Arial"/>
          <w:sz w:val="18"/>
          <w:szCs w:val="18"/>
        </w:rPr>
        <w:t>069</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B143E2">
        <w:rPr>
          <w:rFonts w:ascii="Arial" w:hAnsi="Arial" w:cs="Arial"/>
          <w:sz w:val="18"/>
          <w:szCs w:val="18"/>
        </w:rPr>
        <w:t>de</w:t>
      </w:r>
      <w:r>
        <w:rPr>
          <w:rFonts w:ascii="Arial" w:hAnsi="Arial" w:cs="Arial"/>
          <w:sz w:val="18"/>
          <w:szCs w:val="18"/>
        </w:rPr>
        <w:t xml:space="preserve">cremento del </w:t>
      </w:r>
      <w:r w:rsidR="00815BB8">
        <w:rPr>
          <w:rFonts w:ascii="Arial" w:hAnsi="Arial" w:cs="Arial"/>
          <w:sz w:val="18"/>
          <w:szCs w:val="18"/>
        </w:rPr>
        <w:t>2</w:t>
      </w:r>
      <w:r w:rsidR="00386D06">
        <w:rPr>
          <w:rFonts w:ascii="Arial" w:hAnsi="Arial" w:cs="Arial"/>
          <w:sz w:val="18"/>
          <w:szCs w:val="18"/>
        </w:rPr>
        <w:t>2</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40BE50F4"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676142">
        <w:rPr>
          <w:rFonts w:ascii="Arial" w:hAnsi="Arial" w:cs="Arial"/>
          <w:sz w:val="18"/>
          <w:szCs w:val="18"/>
        </w:rPr>
        <w:t>juni</w:t>
      </w:r>
      <w:r w:rsidR="00815BB8">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676142">
        <w:rPr>
          <w:rFonts w:ascii="Arial" w:hAnsi="Arial" w:cs="Arial"/>
          <w:sz w:val="18"/>
          <w:szCs w:val="18"/>
        </w:rPr>
        <w:t>2</w:t>
      </w:r>
      <w:r w:rsidR="008A4453">
        <w:rPr>
          <w:rFonts w:ascii="Arial" w:hAnsi="Arial" w:cs="Arial"/>
          <w:sz w:val="18"/>
          <w:szCs w:val="18"/>
        </w:rPr>
        <w:t>,</w:t>
      </w:r>
      <w:r w:rsidR="003A1413">
        <w:rPr>
          <w:rFonts w:ascii="Arial" w:hAnsi="Arial" w:cs="Arial"/>
          <w:sz w:val="18"/>
          <w:szCs w:val="18"/>
        </w:rPr>
        <w:t>472</w:t>
      </w:r>
      <w:r>
        <w:rPr>
          <w:rFonts w:ascii="Arial" w:eastAsia="Times New Roman" w:hAnsi="Arial" w:cs="Arial"/>
          <w:bCs/>
          <w:sz w:val="18"/>
          <w:szCs w:val="18"/>
          <w:lang w:eastAsia="es-MX"/>
        </w:rPr>
        <w:t>,</w:t>
      </w:r>
      <w:r w:rsidR="003A1413">
        <w:rPr>
          <w:rFonts w:ascii="Arial" w:eastAsia="Times New Roman" w:hAnsi="Arial" w:cs="Arial"/>
          <w:bCs/>
          <w:sz w:val="18"/>
          <w:szCs w:val="18"/>
          <w:lang w:eastAsia="es-MX"/>
        </w:rPr>
        <w:t>893</w:t>
      </w:r>
      <w:r>
        <w:rPr>
          <w:rFonts w:ascii="Arial" w:eastAsia="Times New Roman" w:hAnsi="Arial" w:cs="Arial"/>
          <w:bCs/>
          <w:sz w:val="18"/>
          <w:szCs w:val="18"/>
          <w:lang w:eastAsia="es-MX"/>
        </w:rPr>
        <w:t>,</w:t>
      </w:r>
      <w:r w:rsidR="003A1413">
        <w:rPr>
          <w:rFonts w:ascii="Arial" w:eastAsia="Times New Roman" w:hAnsi="Arial" w:cs="Arial"/>
          <w:bCs/>
          <w:sz w:val="18"/>
          <w:szCs w:val="18"/>
          <w:lang w:eastAsia="es-MX"/>
        </w:rPr>
        <w:t>667</w:t>
      </w:r>
      <w:r w:rsidR="007156AF">
        <w:rPr>
          <w:rFonts w:ascii="Arial" w:eastAsia="Times New Roman" w:hAnsi="Arial" w:cs="Arial"/>
          <w:bCs/>
          <w:sz w:val="18"/>
          <w:szCs w:val="18"/>
          <w:lang w:eastAsia="es-MX"/>
        </w:rPr>
        <w:t>.</w:t>
      </w:r>
    </w:p>
    <w:p w14:paraId="26152A80" w14:textId="2B893BFE" w:rsidR="00762268" w:rsidRDefault="001B0C81" w:rsidP="001B0C81">
      <w:pPr>
        <w:tabs>
          <w:tab w:val="left" w:pos="7092"/>
        </w:tabs>
        <w:ind w:left="284"/>
        <w:jc w:val="both"/>
        <w:rPr>
          <w:rFonts w:ascii="Arial" w:eastAsia="Times New Roman" w:hAnsi="Arial" w:cs="Arial"/>
          <w:bCs/>
          <w:sz w:val="18"/>
          <w:szCs w:val="18"/>
          <w:lang w:eastAsia="es-MX"/>
        </w:rPr>
      </w:pPr>
      <w:r>
        <w:rPr>
          <w:rFonts w:ascii="Arial" w:eastAsia="Times New Roman" w:hAnsi="Arial" w:cs="Arial"/>
          <w:bCs/>
          <w:sz w:val="18"/>
          <w:szCs w:val="18"/>
          <w:lang w:eastAsia="es-MX"/>
        </w:rPr>
        <w:tab/>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599B42E7"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676142">
        <w:rPr>
          <w:lang w:val="es-MX"/>
        </w:rPr>
        <w:t>1,843</w:t>
      </w:r>
      <w:r w:rsidR="00AC2CB6">
        <w:rPr>
          <w:lang w:val="es-MX"/>
        </w:rPr>
        <w:t>,</w:t>
      </w:r>
      <w:r w:rsidR="00815BB8">
        <w:rPr>
          <w:lang w:val="es-MX"/>
        </w:rPr>
        <w:t>4</w:t>
      </w:r>
      <w:r w:rsidR="00676142">
        <w:rPr>
          <w:lang w:val="es-MX"/>
        </w:rPr>
        <w:t>12</w:t>
      </w:r>
      <w:r w:rsidR="00AC2CB6">
        <w:rPr>
          <w:lang w:val="es-MX"/>
        </w:rPr>
        <w:t>,</w:t>
      </w:r>
      <w:r w:rsidR="00676142">
        <w:rPr>
          <w:lang w:val="es-MX"/>
        </w:rPr>
        <w:t>900</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EF423A5"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676142">
        <w:rPr>
          <w:lang w:val="es-MX"/>
        </w:rPr>
        <w:t>2</w:t>
      </w:r>
      <w:r w:rsidR="008F164F">
        <w:rPr>
          <w:lang w:val="es-MX"/>
        </w:rPr>
        <w:t>,</w:t>
      </w:r>
      <w:r w:rsidR="00676142">
        <w:rPr>
          <w:lang w:val="es-MX"/>
        </w:rPr>
        <w:t>694</w:t>
      </w:r>
      <w:r w:rsidR="008F5C9C">
        <w:rPr>
          <w:lang w:val="es-MX"/>
        </w:rPr>
        <w:t>,</w:t>
      </w:r>
      <w:r w:rsidR="00676142">
        <w:rPr>
          <w:lang w:val="es-MX"/>
        </w:rPr>
        <w:t>487</w:t>
      </w:r>
      <w:r>
        <w:rPr>
          <w:lang w:val="es-MX"/>
        </w:rPr>
        <w:t>,</w:t>
      </w:r>
      <w:r w:rsidR="00676142">
        <w:rPr>
          <w:lang w:val="es-MX"/>
        </w:rPr>
        <w:t>835</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0997DB65"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76142">
        <w:rPr>
          <w:lang w:val="es-MX"/>
        </w:rPr>
        <w:t>junio</w:t>
      </w:r>
      <w:r>
        <w:rPr>
          <w:lang w:val="es-MX"/>
        </w:rPr>
        <w:t xml:space="preserve"> un importe de </w:t>
      </w:r>
      <w:r w:rsidRPr="004466A7">
        <w:rPr>
          <w:lang w:val="es-MX"/>
        </w:rPr>
        <w:t>$</w:t>
      </w:r>
      <w:r w:rsidR="00676142">
        <w:rPr>
          <w:lang w:val="es-MX"/>
        </w:rPr>
        <w:t>135,323,389</w:t>
      </w:r>
      <w:r w:rsidR="00815BB8">
        <w:rPr>
          <w:lang w:val="es-MX"/>
        </w:rPr>
        <w:t>.00.</w:t>
      </w:r>
    </w:p>
    <w:p w14:paraId="75AB3F20" w14:textId="661ADDD6" w:rsidR="00661352" w:rsidRDefault="00661352" w:rsidP="005F52B3">
      <w:pPr>
        <w:pStyle w:val="ROMANOS"/>
        <w:tabs>
          <w:tab w:val="clear" w:pos="720"/>
          <w:tab w:val="left" w:pos="284"/>
        </w:tabs>
        <w:spacing w:after="0" w:line="276" w:lineRule="auto"/>
        <w:ind w:left="284" w:firstLine="0"/>
        <w:rPr>
          <w:b/>
          <w:lang w:val="es-MX"/>
        </w:rPr>
      </w:pPr>
    </w:p>
    <w:p w14:paraId="2FBD4597" w14:textId="639DDC06" w:rsidR="009B66AA" w:rsidRDefault="009B66AA" w:rsidP="005F52B3">
      <w:pPr>
        <w:pStyle w:val="ROMANOS"/>
        <w:tabs>
          <w:tab w:val="clear" w:pos="720"/>
          <w:tab w:val="left" w:pos="284"/>
        </w:tabs>
        <w:spacing w:after="0" w:line="276" w:lineRule="auto"/>
        <w:ind w:left="284" w:firstLine="0"/>
        <w:rPr>
          <w:b/>
          <w:lang w:val="es-MX"/>
        </w:rPr>
      </w:pPr>
    </w:p>
    <w:p w14:paraId="46038149" w14:textId="77777777" w:rsidR="009C1642" w:rsidRDefault="009C1642" w:rsidP="005F52B3">
      <w:pPr>
        <w:pStyle w:val="ROMANOS"/>
        <w:tabs>
          <w:tab w:val="clear" w:pos="720"/>
          <w:tab w:val="left" w:pos="284"/>
        </w:tabs>
        <w:spacing w:after="0" w:line="276" w:lineRule="auto"/>
        <w:ind w:left="284" w:firstLine="0"/>
        <w:rPr>
          <w:b/>
          <w:lang w:val="es-MX"/>
        </w:rPr>
      </w:pPr>
    </w:p>
    <w:p w14:paraId="0F83AFD4" w14:textId="77777777" w:rsidR="009C1642" w:rsidRDefault="009C164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642F1E5A"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76142">
        <w:rPr>
          <w:lang w:val="es-MX"/>
        </w:rPr>
        <w:t>0</w:t>
      </w:r>
      <w:r w:rsidRPr="00DA18AC">
        <w:rPr>
          <w:lang w:val="es-MX"/>
        </w:rPr>
        <w:t xml:space="preserve"> de </w:t>
      </w:r>
      <w:r w:rsidR="00676142">
        <w:rPr>
          <w:lang w:val="es-MX"/>
        </w:rPr>
        <w:t>juni</w:t>
      </w:r>
      <w:r w:rsidR="00815BB8">
        <w:rPr>
          <w:lang w:val="es-MX"/>
        </w:rPr>
        <w:t>o</w:t>
      </w:r>
      <w:r w:rsidRPr="00DA18AC">
        <w:rPr>
          <w:lang w:val="es-MX"/>
        </w:rPr>
        <w:t xml:space="preserve"> de 20</w:t>
      </w:r>
      <w:r w:rsidR="00466C1E">
        <w:rPr>
          <w:lang w:val="es-MX"/>
        </w:rPr>
        <w:t>2</w:t>
      </w:r>
      <w:r w:rsidR="00815BB8">
        <w:rPr>
          <w:lang w:val="es-MX"/>
        </w:rPr>
        <w:t>4</w:t>
      </w:r>
      <w:r w:rsidRPr="00DA18AC">
        <w:rPr>
          <w:lang w:val="es-MX"/>
        </w:rPr>
        <w:t xml:space="preserve"> de </w:t>
      </w:r>
      <w:r w:rsidR="00815BB8">
        <w:rPr>
          <w:lang w:val="es-MX"/>
        </w:rPr>
        <w:t>-</w:t>
      </w:r>
      <w:r w:rsidRPr="00DA18AC">
        <w:rPr>
          <w:lang w:val="es-MX"/>
        </w:rPr>
        <w:t>$</w:t>
      </w:r>
      <w:r w:rsidR="00815BB8">
        <w:rPr>
          <w:lang w:val="es-MX"/>
        </w:rPr>
        <w:t>9</w:t>
      </w:r>
      <w:r w:rsidR="00676142">
        <w:rPr>
          <w:lang w:val="es-MX"/>
        </w:rPr>
        <w:t>86</w:t>
      </w:r>
      <w:r w:rsidR="00A16DA6">
        <w:rPr>
          <w:lang w:val="es-MX"/>
        </w:rPr>
        <w:t>,</w:t>
      </w:r>
      <w:r w:rsidR="00676142">
        <w:rPr>
          <w:lang w:val="es-MX"/>
        </w:rPr>
        <w:t>398</w:t>
      </w:r>
      <w:r w:rsidR="00A16DA6">
        <w:rPr>
          <w:lang w:val="es-MX"/>
        </w:rPr>
        <w:t>,</w:t>
      </w:r>
      <w:r w:rsidR="00676142">
        <w:rPr>
          <w:lang w:val="es-MX"/>
        </w:rPr>
        <w:t>324</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638C7D2D" w14:textId="77777777" w:rsidR="009B66AA" w:rsidRDefault="009B66AA" w:rsidP="005F52B3">
      <w:pPr>
        <w:pStyle w:val="ROMANOS"/>
        <w:tabs>
          <w:tab w:val="clear" w:pos="720"/>
          <w:tab w:val="left" w:pos="284"/>
        </w:tabs>
        <w:spacing w:after="0" w:line="276" w:lineRule="auto"/>
        <w:ind w:left="284" w:firstLine="0"/>
        <w:rPr>
          <w:lang w:val="es-MX"/>
        </w:rPr>
      </w:pP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39F6AC3C" w:rsidR="009B66AA" w:rsidRPr="00450621" w:rsidRDefault="00B61C6A"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1,120,889,608</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1FBB4CCB" w:rsidR="009B66AA" w:rsidRPr="00450621" w:rsidRDefault="00B61C6A"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3,572,058,217</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409C206D" w:rsidR="009B66AA" w:rsidRPr="00450621" w:rsidRDefault="00B61C6A"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41,296,293</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5B6B4121" w:rsidR="009B66AA" w:rsidRPr="009B66AA" w:rsidRDefault="00B61C6A"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4,734,244,118</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42B6926E" w:rsidR="00802877" w:rsidRDefault="00802877" w:rsidP="00C53C29">
      <w:pPr>
        <w:pStyle w:val="INCISO"/>
        <w:numPr>
          <w:ilvl w:val="0"/>
          <w:numId w:val="9"/>
        </w:numPr>
        <w:tabs>
          <w:tab w:val="left" w:pos="284"/>
        </w:tabs>
        <w:spacing w:after="0" w:line="276" w:lineRule="auto"/>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2AF174BF" w:rsidR="009B66AA" w:rsidRPr="00450621"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7,954,482</w:t>
            </w:r>
          </w:p>
        </w:tc>
        <w:tc>
          <w:tcPr>
            <w:tcW w:w="1267" w:type="dxa"/>
            <w:tcBorders>
              <w:top w:val="nil"/>
              <w:left w:val="nil"/>
              <w:bottom w:val="single" w:sz="4" w:space="0" w:color="000000"/>
              <w:right w:val="single" w:sz="4" w:space="0" w:color="000000"/>
            </w:tcBorders>
            <w:shd w:val="clear" w:color="000000" w:fill="FFFFFF"/>
          </w:tcPr>
          <w:p w14:paraId="051A48E6" w14:textId="70238659" w:rsidR="009B66AA"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1,920,934,313</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1AB1289A" w:rsidR="009B66AA" w:rsidRPr="00450621" w:rsidRDefault="008F4E5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7,954,482</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6C987F6F"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51,798,569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DF95FBE"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453,595,170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7CA0AE97" w:rsidR="009B66AA" w:rsidRPr="00450621" w:rsidRDefault="008F4E5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12,723,086</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59E29A7E" w:rsidR="009B66AA" w:rsidRPr="00450621" w:rsidRDefault="008F4E5A"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1,533,952</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17B07BEF" w:rsidR="009B66AA" w:rsidRPr="00450621" w:rsidRDefault="008F4E5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12,089,769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0700239F" w:rsidR="009B66AA" w:rsidRPr="00450621" w:rsidRDefault="008F4E5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25,451,762</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F8171F" w:rsidRDefault="009B66AA" w:rsidP="009B66AA">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69098A91" w:rsidR="009B66AA" w:rsidRPr="00F8171F" w:rsidRDefault="00EE1D7E" w:rsidP="00F8171F">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5,365,993</w:t>
            </w:r>
            <w:r w:rsidR="009B66AA" w:rsidRPr="00F8171F">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F8171F" w:rsidRDefault="00AA35F1" w:rsidP="009B66AA">
            <w:pPr>
              <w:spacing w:after="0" w:line="240" w:lineRule="auto"/>
              <w:jc w:val="right"/>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0AB74BEC" w:rsidR="009B66AA" w:rsidRPr="00450621"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65,119,044</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1A9E5822"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3276EF35" w14:textId="117E0F9E"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9FD177B" w14:textId="77777777" w:rsidR="009C1642" w:rsidRDefault="009C1642" w:rsidP="00C50527">
      <w:pPr>
        <w:pStyle w:val="INCISO"/>
        <w:tabs>
          <w:tab w:val="left" w:pos="284"/>
        </w:tabs>
        <w:spacing w:after="0" w:line="276" w:lineRule="auto"/>
        <w:ind w:left="284" w:firstLine="0"/>
        <w:rPr>
          <w:b/>
          <w:smallCaps/>
        </w:rPr>
      </w:pPr>
    </w:p>
    <w:p w14:paraId="0D7A9DC2" w14:textId="77777777" w:rsidR="009C1642" w:rsidRDefault="009C1642" w:rsidP="00C50527">
      <w:pPr>
        <w:pStyle w:val="INCISO"/>
        <w:tabs>
          <w:tab w:val="left" w:pos="284"/>
        </w:tabs>
        <w:spacing w:after="0" w:line="276" w:lineRule="auto"/>
        <w:ind w:left="284" w:firstLine="0"/>
        <w:rPr>
          <w:b/>
          <w:smallCaps/>
        </w:rPr>
      </w:pPr>
    </w:p>
    <w:p w14:paraId="3402C750" w14:textId="77777777" w:rsidR="009C1642" w:rsidRDefault="009C1642" w:rsidP="00C50527">
      <w:pPr>
        <w:pStyle w:val="INCISO"/>
        <w:tabs>
          <w:tab w:val="left" w:pos="284"/>
        </w:tabs>
        <w:spacing w:after="0" w:line="276" w:lineRule="auto"/>
        <w:ind w:left="284" w:firstLine="0"/>
        <w:rPr>
          <w:b/>
          <w:smallCaps/>
        </w:rPr>
      </w:pPr>
    </w:p>
    <w:p w14:paraId="69A50580" w14:textId="77777777" w:rsidR="009C1642" w:rsidRDefault="009C1642" w:rsidP="00C50527">
      <w:pPr>
        <w:pStyle w:val="INCISO"/>
        <w:tabs>
          <w:tab w:val="left" w:pos="284"/>
        </w:tabs>
        <w:spacing w:after="0" w:line="276" w:lineRule="auto"/>
        <w:ind w:left="284" w:firstLine="0"/>
        <w:rPr>
          <w:b/>
          <w:smallCaps/>
        </w:rPr>
      </w:pPr>
    </w:p>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450BB3EB"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6D0221B9"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1434CC07" w:rsidR="009B66AA" w:rsidRPr="00450621" w:rsidRDefault="00282A5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2,694,487,835</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5F25C574" w:rsidR="009B66AA" w:rsidRPr="00450621" w:rsidRDefault="00282A5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2,694,487,835</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093F386E" w14:textId="27412CA0" w:rsidR="006942ED" w:rsidRPr="006942ED" w:rsidRDefault="00000000" w:rsidP="006942ED">
      <w:pPr>
        <w:rPr>
          <w:lang w:eastAsia="es-ES"/>
        </w:rPr>
      </w:pPr>
      <w:r>
        <w:rPr>
          <w:noProof/>
          <w:szCs w:val="18"/>
          <w:lang w:val="es-ES" w:eastAsia="es-MX"/>
        </w:rPr>
        <w:lastRenderedPageBreak/>
        <w:object w:dxaOrig="1440" w:dyaOrig="1440" w14:anchorId="7CF3A5A1">
          <v:shape id="_x0000_s2070" type="#_x0000_t75" style="position:absolute;margin-left:-54.65pt;margin-top:19.6pt;width:575pt;height:450.35pt;z-index:251659264">
            <v:imagedata r:id="rId28" o:title=""/>
            <w10:wrap type="topAndBottom"/>
          </v:shape>
          <o:OLEObject Type="Embed" ProgID="Excel.Sheet.12" ShapeID="_x0000_s2070" DrawAspect="Content" ObjectID="_1782813078" r:id="rId29"/>
        </w:object>
      </w:r>
    </w:p>
    <w:p w14:paraId="02BAADB2" w14:textId="77777777" w:rsidR="002A62AF" w:rsidRDefault="002A62AF" w:rsidP="006942ED">
      <w:pPr>
        <w:ind w:firstLine="708"/>
        <w:rPr>
          <w:lang w:eastAsia="es-ES"/>
        </w:rPr>
      </w:pPr>
    </w:p>
    <w:p w14:paraId="4EA645CD" w14:textId="6DA11724" w:rsidR="002C55F6" w:rsidRDefault="0000000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11.7pt;margin-top:12.75pt;width:528.35pt;height:613.65pt;z-index:251660288">
            <v:imagedata r:id="rId30" o:title=""/>
            <w10:wrap type="topAndBottom"/>
          </v:shape>
          <o:OLEObject Type="Embed" ProgID="Excel.Sheet.12" ShapeID="_x0000_s2071" DrawAspect="Content" ObjectID="_1782813079" r:id="rId31"/>
        </w:object>
      </w:r>
    </w:p>
    <w:p w14:paraId="5BD0B5E5" w14:textId="77777777" w:rsidR="006942ED" w:rsidRPr="006942ED" w:rsidRDefault="006942ED" w:rsidP="006942ED">
      <w:pPr>
        <w:ind w:firstLine="708"/>
        <w:rPr>
          <w:lang w:eastAsia="es-ES"/>
        </w:rPr>
      </w:pPr>
    </w:p>
    <w:p w14:paraId="70DEFCA9" w14:textId="5DE32220"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07B1322B"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804EE">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70212329"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50A7747"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4D8E88C1"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p>
        </w:tc>
      </w:tr>
      <w:tr w:rsidR="00C06ABE" w:rsidRPr="00450621" w14:paraId="67EE63E8"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4ECDF0"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43F3558"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35C05D92"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F7BAD8C"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06BDADC7"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13,762,680,233</w:t>
            </w:r>
          </w:p>
        </w:tc>
      </w:tr>
      <w:tr w:rsidR="00C06ABE" w:rsidRPr="00450621" w14:paraId="5092FA34"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D27F4F"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396AC84D"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C06ABE" w:rsidRPr="00450621" w14:paraId="3FA95703"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957AA1"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E8E2EE1"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1,043,573,982</w:t>
            </w:r>
          </w:p>
        </w:tc>
      </w:tr>
      <w:tr w:rsidR="00C06ABE" w:rsidRPr="00450621" w14:paraId="6ACBCB42"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E7BEFCB"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53AB398D"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14,806,254,215</w:t>
            </w:r>
          </w:p>
        </w:tc>
      </w:tr>
      <w:tr w:rsidR="00C06ABE" w:rsidRPr="00450621" w14:paraId="181CC564"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741988A"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1A85BFD3"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14,806,254,215</w:t>
            </w:r>
          </w:p>
        </w:tc>
      </w:tr>
    </w:tbl>
    <w:p w14:paraId="059E042C" w14:textId="423FF4D0" w:rsidR="00420656" w:rsidRDefault="00420656" w:rsidP="00420656">
      <w:pPr>
        <w:spacing w:after="0"/>
        <w:jc w:val="center"/>
        <w:rPr>
          <w:rFonts w:ascii="Arial" w:hAnsi="Arial" w:cs="Arial"/>
          <w:sz w:val="18"/>
          <w:szCs w:val="18"/>
        </w:rPr>
      </w:pPr>
    </w:p>
    <w:p w14:paraId="2A9F9D91" w14:textId="4C7C1D52" w:rsidR="00C06ABE" w:rsidRDefault="00C06ABE" w:rsidP="00420656">
      <w:pPr>
        <w:spacing w:after="0"/>
        <w:jc w:val="center"/>
        <w:rPr>
          <w:rFonts w:ascii="Arial" w:hAnsi="Arial" w:cs="Arial"/>
          <w:sz w:val="18"/>
          <w:szCs w:val="18"/>
        </w:rPr>
      </w:pPr>
    </w:p>
    <w:p w14:paraId="507DA5A9" w14:textId="77777777" w:rsidR="00C06ABE" w:rsidRDefault="00C06ABE"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0F4B04A6"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330CA2D"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1C8CC1C"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p>
        </w:tc>
      </w:tr>
      <w:tr w:rsidR="00C06ABE" w:rsidRPr="00450621" w14:paraId="1B393FBF"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BFE20CD"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F3D3C25" w14:textId="77777777" w:rsidR="00C06ABE" w:rsidRPr="00DA460F" w:rsidRDefault="00C06ABE" w:rsidP="003A141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07ABE94B"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E4F2FDD"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3EEC3B4E"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13,762,680,233</w:t>
            </w:r>
          </w:p>
        </w:tc>
      </w:tr>
      <w:tr w:rsidR="00C06ABE" w:rsidRPr="00450621" w14:paraId="1818D67F"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921A06F"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A14B963"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2,090,900,053</w:t>
            </w:r>
          </w:p>
        </w:tc>
      </w:tr>
      <w:tr w:rsidR="00C06ABE" w:rsidRPr="00450621" w14:paraId="0944CCE6"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BE97D36"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17754781"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1,043,573,982</w:t>
            </w:r>
          </w:p>
        </w:tc>
      </w:tr>
      <w:tr w:rsidR="00C06ABE" w:rsidRPr="00450621" w14:paraId="72B362DC"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754D67"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42272496"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12,715,354,163</w:t>
            </w:r>
          </w:p>
        </w:tc>
      </w:tr>
      <w:tr w:rsidR="00C06ABE" w:rsidRPr="00450621" w14:paraId="467FAE54"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E47FFD" w14:textId="77777777" w:rsidR="00C06ABE" w:rsidRPr="00450621" w:rsidRDefault="00C06ABE" w:rsidP="003A1413">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670F06AB" w14:textId="77777777" w:rsidR="00C06ABE" w:rsidRPr="00450621"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12,176,885,425</w:t>
            </w:r>
          </w:p>
        </w:tc>
      </w:tr>
      <w:tr w:rsidR="00C06ABE" w:rsidRPr="00AD5155" w14:paraId="01FC54A5"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4FAF0C" w14:textId="77777777" w:rsidR="00C06ABE" w:rsidRPr="00FF3187" w:rsidRDefault="00C06ABE" w:rsidP="003A1413">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2AFB33BB" w14:textId="77777777" w:rsidR="00C06ABE" w:rsidRPr="00AD5155" w:rsidRDefault="00C06ABE" w:rsidP="003A1413">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12,176,885,425</w:t>
            </w:r>
          </w:p>
        </w:tc>
      </w:tr>
      <w:tr w:rsidR="00C06ABE" w:rsidRPr="00450621" w14:paraId="6F743366" w14:textId="77777777" w:rsidTr="003A1413">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847EAE6" w14:textId="77777777" w:rsidR="00C06ABE" w:rsidRPr="00FF3187" w:rsidRDefault="00C06ABE" w:rsidP="003A1413">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0A0B52CD" w14:textId="77777777" w:rsidR="00C06ABE" w:rsidRPr="00AD5155" w:rsidRDefault="00C06ABE" w:rsidP="003A1413">
            <w:pPr>
              <w:spacing w:after="0" w:line="240" w:lineRule="exact"/>
              <w:mirrorIndents/>
              <w:jc w:val="right"/>
              <w:rPr>
                <w:rFonts w:ascii="Arial" w:eastAsia="Times New Roman" w:hAnsi="Arial" w:cs="Arial"/>
                <w:sz w:val="18"/>
                <w:szCs w:val="18"/>
                <w:lang w:eastAsia="es-ES"/>
              </w:rPr>
            </w:pPr>
            <w:r w:rsidRPr="00AD5155">
              <w:rPr>
                <w:rFonts w:ascii="Arial" w:eastAsia="Times New Roman" w:hAnsi="Arial" w:cs="Arial"/>
                <w:sz w:val="18"/>
                <w:szCs w:val="18"/>
                <w:lang w:eastAsia="es-ES"/>
              </w:rPr>
              <w:t>12,168,659,580</w:t>
            </w:r>
          </w:p>
        </w:tc>
      </w:tr>
    </w:tbl>
    <w:p w14:paraId="361D8C8C" w14:textId="77777777" w:rsidR="00C06ABE" w:rsidRDefault="00C06ABE" w:rsidP="00420656">
      <w:pPr>
        <w:spacing w:after="0"/>
        <w:jc w:val="center"/>
        <w:rPr>
          <w:rFonts w:ascii="Arial" w:hAnsi="Arial" w:cs="Arial"/>
          <w:sz w:val="18"/>
          <w:szCs w:val="18"/>
        </w:rPr>
      </w:pPr>
    </w:p>
    <w:p w14:paraId="09CF0282" w14:textId="77777777" w:rsidR="00420656" w:rsidRDefault="00420656" w:rsidP="00420656">
      <w:pPr>
        <w:spacing w:after="0"/>
        <w:jc w:val="center"/>
        <w:rPr>
          <w:rFonts w:ascii="Arial" w:hAnsi="Arial" w:cs="Arial"/>
          <w:sz w:val="18"/>
          <w:szCs w:val="18"/>
        </w:rPr>
      </w:pPr>
    </w:p>
    <w:p w14:paraId="2B19A75A" w14:textId="77777777" w:rsidR="00420656" w:rsidRDefault="00420656" w:rsidP="00420656">
      <w:pPr>
        <w:spacing w:after="0"/>
        <w:jc w:val="center"/>
        <w:rPr>
          <w:rFonts w:ascii="Arial" w:hAnsi="Arial" w:cs="Arial"/>
          <w:sz w:val="18"/>
          <w:szCs w:val="18"/>
        </w:rPr>
      </w:pPr>
    </w:p>
    <w:p w14:paraId="67FBE95D" w14:textId="77777777" w:rsidR="00420656" w:rsidRDefault="00420656" w:rsidP="00420656">
      <w:pPr>
        <w:spacing w:after="0"/>
        <w:jc w:val="center"/>
        <w:rPr>
          <w:rFonts w:ascii="Arial" w:hAnsi="Arial" w:cs="Arial"/>
          <w:sz w:val="18"/>
          <w:szCs w:val="18"/>
        </w:rPr>
      </w:pP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sectPr w:rsidR="0070431B" w:rsidSect="000209E1">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DF77D" w14:textId="77777777" w:rsidR="002E1C0E" w:rsidRDefault="002E1C0E" w:rsidP="00EA5418">
      <w:pPr>
        <w:spacing w:after="0" w:line="240" w:lineRule="auto"/>
      </w:pPr>
      <w:r>
        <w:separator/>
      </w:r>
    </w:p>
  </w:endnote>
  <w:endnote w:type="continuationSeparator" w:id="0">
    <w:p w14:paraId="597E846A" w14:textId="77777777" w:rsidR="002E1C0E" w:rsidRDefault="002E1C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E62F" w14:textId="3B386FDB" w:rsidR="003A1413" w:rsidRPr="004E3EA4" w:rsidRDefault="003A141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3560C" w:rsidRPr="0033560C">
          <w:rPr>
            <w:rFonts w:ascii="Arial" w:hAnsi="Arial" w:cs="Arial"/>
            <w:noProof/>
            <w:sz w:val="20"/>
            <w:lang w:val="es-ES"/>
          </w:rPr>
          <w:t>40</w:t>
        </w:r>
        <w:r w:rsidRPr="004E3EA4">
          <w:rPr>
            <w:rFonts w:ascii="Arial" w:hAnsi="Arial" w:cs="Arial"/>
            <w:sz w:val="20"/>
          </w:rPr>
          <w:fldChar w:fldCharType="end"/>
        </w:r>
      </w:sdtContent>
    </w:sdt>
  </w:p>
  <w:p w14:paraId="62447935" w14:textId="77777777" w:rsidR="003A1413" w:rsidRDefault="003A14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476C" w14:textId="3BB0A83A" w:rsidR="003A1413" w:rsidRPr="003527CD" w:rsidRDefault="003A141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3560C" w:rsidRPr="0033560C">
          <w:rPr>
            <w:rFonts w:ascii="Arial" w:hAnsi="Arial" w:cs="Arial"/>
            <w:noProof/>
            <w:lang w:val="es-ES"/>
          </w:rPr>
          <w:t>41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01A4A" w14:textId="77777777" w:rsidR="002E1C0E" w:rsidRDefault="002E1C0E" w:rsidP="00EA5418">
      <w:pPr>
        <w:spacing w:after="0" w:line="240" w:lineRule="auto"/>
      </w:pPr>
      <w:r>
        <w:separator/>
      </w:r>
    </w:p>
  </w:footnote>
  <w:footnote w:type="continuationSeparator" w:id="0">
    <w:p w14:paraId="551392D9" w14:textId="77777777" w:rsidR="002E1C0E" w:rsidRDefault="002E1C0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78E5" w14:textId="77777777" w:rsidR="003A1413" w:rsidRDefault="003A141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3A1413" w:rsidRDefault="003A141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3A1413" w:rsidRDefault="003A141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3A1413" w:rsidRPr="00DE4269" w:rsidRDefault="003A141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F4E5A" w:rsidRDefault="008F4E5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F4E5A" w:rsidRDefault="008F4E5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8F4E5A" w:rsidRPr="00DE4269" w:rsidRDefault="008F4E5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BBA" w14:textId="77777777" w:rsidR="003A1413" w:rsidRPr="003527CD" w:rsidRDefault="003A141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91876806">
    <w:abstractNumId w:val="7"/>
  </w:num>
  <w:num w:numId="2" w16cid:durableId="133563907">
    <w:abstractNumId w:val="0"/>
  </w:num>
  <w:num w:numId="3" w16cid:durableId="983658112">
    <w:abstractNumId w:val="2"/>
  </w:num>
  <w:num w:numId="4" w16cid:durableId="18732242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5760248">
    <w:abstractNumId w:val="4"/>
  </w:num>
  <w:num w:numId="6" w16cid:durableId="393356545">
    <w:abstractNumId w:val="1"/>
  </w:num>
  <w:num w:numId="7" w16cid:durableId="1975017103">
    <w:abstractNumId w:val="6"/>
  </w:num>
  <w:num w:numId="8" w16cid:durableId="1613052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000637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D76D8"/>
    <w:rsid w:val="000E029D"/>
    <w:rsid w:val="000E0A96"/>
    <w:rsid w:val="000E10A7"/>
    <w:rsid w:val="000E4072"/>
    <w:rsid w:val="000E5C7A"/>
    <w:rsid w:val="000E5D7B"/>
    <w:rsid w:val="000E6692"/>
    <w:rsid w:val="000F0E08"/>
    <w:rsid w:val="000F1B18"/>
    <w:rsid w:val="000F3BF5"/>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5B92"/>
    <w:rsid w:val="00221C53"/>
    <w:rsid w:val="00221DB1"/>
    <w:rsid w:val="0022227A"/>
    <w:rsid w:val="00222D09"/>
    <w:rsid w:val="00223CE1"/>
    <w:rsid w:val="0022440F"/>
    <w:rsid w:val="002253A0"/>
    <w:rsid w:val="00227B93"/>
    <w:rsid w:val="00230B71"/>
    <w:rsid w:val="00236748"/>
    <w:rsid w:val="00241DE4"/>
    <w:rsid w:val="002431DD"/>
    <w:rsid w:val="00243D91"/>
    <w:rsid w:val="00244D40"/>
    <w:rsid w:val="00245E54"/>
    <w:rsid w:val="00247A5F"/>
    <w:rsid w:val="00247AD7"/>
    <w:rsid w:val="00251F0D"/>
    <w:rsid w:val="00255476"/>
    <w:rsid w:val="0025548F"/>
    <w:rsid w:val="0025735F"/>
    <w:rsid w:val="002615F9"/>
    <w:rsid w:val="00261B45"/>
    <w:rsid w:val="002627B2"/>
    <w:rsid w:val="0026333F"/>
    <w:rsid w:val="00264426"/>
    <w:rsid w:val="002705C0"/>
    <w:rsid w:val="00270EC8"/>
    <w:rsid w:val="002714C7"/>
    <w:rsid w:val="00272E20"/>
    <w:rsid w:val="00273C4A"/>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C0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560C"/>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1413"/>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28F"/>
    <w:rsid w:val="0041065F"/>
    <w:rsid w:val="00411B83"/>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3F0D"/>
    <w:rsid w:val="004C4F16"/>
    <w:rsid w:val="004C5E7B"/>
    <w:rsid w:val="004D30E1"/>
    <w:rsid w:val="004D3E91"/>
    <w:rsid w:val="004D41B8"/>
    <w:rsid w:val="004D47D0"/>
    <w:rsid w:val="004D5BEA"/>
    <w:rsid w:val="004D6FA0"/>
    <w:rsid w:val="004E0191"/>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3540"/>
    <w:rsid w:val="006141F9"/>
    <w:rsid w:val="00622823"/>
    <w:rsid w:val="00623ACB"/>
    <w:rsid w:val="006247D5"/>
    <w:rsid w:val="006253D1"/>
    <w:rsid w:val="006258DA"/>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4213"/>
    <w:rsid w:val="006C54B8"/>
    <w:rsid w:val="006C5BA2"/>
    <w:rsid w:val="006C7E6F"/>
    <w:rsid w:val="006D1933"/>
    <w:rsid w:val="006D2166"/>
    <w:rsid w:val="006D3DF1"/>
    <w:rsid w:val="006D5097"/>
    <w:rsid w:val="006D5AC5"/>
    <w:rsid w:val="006E2D9E"/>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C30"/>
    <w:rsid w:val="008742BD"/>
    <w:rsid w:val="00874341"/>
    <w:rsid w:val="0087478F"/>
    <w:rsid w:val="00875144"/>
    <w:rsid w:val="00876082"/>
    <w:rsid w:val="0087691B"/>
    <w:rsid w:val="008805C8"/>
    <w:rsid w:val="00881BEF"/>
    <w:rsid w:val="008838EF"/>
    <w:rsid w:val="00883D58"/>
    <w:rsid w:val="00885671"/>
    <w:rsid w:val="00885AD1"/>
    <w:rsid w:val="0089054E"/>
    <w:rsid w:val="0089088D"/>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178F1"/>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0DC7"/>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2195"/>
    <w:rsid w:val="00E828CB"/>
    <w:rsid w:val="00E82F7C"/>
    <w:rsid w:val="00E83362"/>
    <w:rsid w:val="00E849B4"/>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Excel_Worksheet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8.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8D1B-3DA9-4448-B18E-F038825F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18638</Words>
  <Characters>102510</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2024-07-18T19:05:00Z</dcterms:created>
  <dcterms:modified xsi:type="dcterms:W3CDTF">2024-07-18T19:05:00Z</dcterms:modified>
</cp:coreProperties>
</file>