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C906" w14:textId="4209CE03" w:rsidR="00B844F0" w:rsidRDefault="00075F11" w:rsidP="000A2A48">
      <w:pPr>
        <w:jc w:val="center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14:paraId="66EC570C" w14:textId="77777777" w:rsidR="003B028F" w:rsidRDefault="003B028F" w:rsidP="003B02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Gobierno del Estado a través del</w:t>
      </w:r>
      <w:r w:rsidRPr="002D3FE8">
        <w:rPr>
          <w:rFonts w:ascii="Arial" w:hAnsi="Arial" w:cs="Arial"/>
          <w:sz w:val="18"/>
          <w:szCs w:val="18"/>
        </w:rPr>
        <w:t xml:space="preserve"> Fondo Macro para el Desarrollo Integral de Tlaxcala</w:t>
      </w:r>
      <w:r>
        <w:rPr>
          <w:rFonts w:ascii="Arial" w:hAnsi="Arial" w:cs="Arial"/>
          <w:sz w:val="18"/>
          <w:szCs w:val="18"/>
        </w:rPr>
        <w:t xml:space="preserve"> “FOMTLAX”, contribuye al desarrollo económico del Estado con el otorgamiento de créditos para</w:t>
      </w:r>
      <w:r w:rsidRPr="002D3FE8">
        <w:rPr>
          <w:rFonts w:ascii="Arial" w:hAnsi="Arial" w:cs="Arial"/>
          <w:sz w:val="18"/>
          <w:szCs w:val="18"/>
        </w:rPr>
        <w:t xml:space="preserve"> las micro y pequeñas empresas </w:t>
      </w:r>
      <w:r>
        <w:rPr>
          <w:rFonts w:ascii="Arial" w:hAnsi="Arial" w:cs="Arial"/>
          <w:sz w:val="18"/>
          <w:szCs w:val="18"/>
        </w:rPr>
        <w:t xml:space="preserve">de los diversos sectores económicos, fomentando el empleo, a </w:t>
      </w:r>
      <w:proofErr w:type="spellStart"/>
      <w:r>
        <w:rPr>
          <w:rFonts w:ascii="Arial" w:hAnsi="Arial" w:cs="Arial"/>
          <w:sz w:val="18"/>
          <w:szCs w:val="18"/>
        </w:rPr>
        <w:t>fín</w:t>
      </w:r>
      <w:proofErr w:type="spellEnd"/>
      <w:r>
        <w:rPr>
          <w:rFonts w:ascii="Arial" w:hAnsi="Arial" w:cs="Arial"/>
          <w:sz w:val="18"/>
          <w:szCs w:val="18"/>
        </w:rPr>
        <w:t xml:space="preserve"> de mejorar el ingreso de las familias tlaxcaltecas.</w:t>
      </w:r>
    </w:p>
    <w:p w14:paraId="13D4652B" w14:textId="77777777" w:rsidR="003B028F" w:rsidRDefault="003B028F" w:rsidP="003B02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mes de enero al mes de junio, se brindó orientación a 782 personas interesadas en obtener un crédito, recibiéndose 817 solicitudes, otorgándose 755 créditos, con una inversión de 27.8 MDP, </w:t>
      </w:r>
      <w:r w:rsidRPr="00E339ED">
        <w:rPr>
          <w:rFonts w:ascii="Arial" w:hAnsi="Arial" w:cs="Arial"/>
          <w:sz w:val="18"/>
          <w:szCs w:val="18"/>
        </w:rPr>
        <w:t xml:space="preserve">que beneficiaron </w:t>
      </w:r>
      <w:r>
        <w:rPr>
          <w:rFonts w:ascii="Arial" w:hAnsi="Arial" w:cs="Arial"/>
          <w:sz w:val="18"/>
          <w:szCs w:val="18"/>
        </w:rPr>
        <w:t xml:space="preserve">a 1,208 familias. Lo anterior aprobado en 24 sesiones ordinarias del Comité de Crédito Interno de este Organismo. </w:t>
      </w:r>
    </w:p>
    <w:p w14:paraId="5639D51F" w14:textId="77777777" w:rsidR="003B028F" w:rsidRDefault="003B028F" w:rsidP="003B02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total de créditos, 249 corresponden al Programa “Mujer </w:t>
      </w:r>
      <w:proofErr w:type="spellStart"/>
      <w:r>
        <w:rPr>
          <w:rFonts w:ascii="Arial" w:hAnsi="Arial" w:cs="Arial"/>
          <w:sz w:val="18"/>
          <w:szCs w:val="18"/>
        </w:rPr>
        <w:t>Fomtlax</w:t>
      </w:r>
      <w:proofErr w:type="spellEnd"/>
      <w:r>
        <w:rPr>
          <w:rFonts w:ascii="Arial" w:hAnsi="Arial" w:cs="Arial"/>
          <w:sz w:val="18"/>
          <w:szCs w:val="18"/>
        </w:rPr>
        <w:t>”, en beneficio de igual número de mujeres conformadas en 82 grupos solidarios, por un monto total de 3.1 MDP.</w:t>
      </w:r>
    </w:p>
    <w:p w14:paraId="03B1F070" w14:textId="77777777" w:rsidR="003B028F" w:rsidRDefault="003B028F" w:rsidP="003B028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1E36AD">
        <w:rPr>
          <w:rFonts w:ascii="Arial" w:hAnsi="Arial" w:cs="Arial"/>
          <w:sz w:val="18"/>
          <w:szCs w:val="18"/>
        </w:rPr>
        <w:t xml:space="preserve">Se llevaron a cabo pláticas de promoción </w:t>
      </w:r>
      <w:r>
        <w:rPr>
          <w:rFonts w:ascii="Arial" w:hAnsi="Arial" w:cs="Arial"/>
          <w:sz w:val="18"/>
          <w:szCs w:val="18"/>
        </w:rPr>
        <w:t>de</w:t>
      </w:r>
      <w:r w:rsidRPr="001E36AD">
        <w:rPr>
          <w:rFonts w:ascii="Arial" w:hAnsi="Arial" w:cs="Arial"/>
          <w:sz w:val="18"/>
          <w:szCs w:val="18"/>
        </w:rPr>
        <w:t>l “Programa</w:t>
      </w:r>
      <w:r>
        <w:rPr>
          <w:rFonts w:ascii="Arial" w:hAnsi="Arial" w:cs="Arial"/>
          <w:sz w:val="18"/>
          <w:szCs w:val="18"/>
        </w:rPr>
        <w:t xml:space="preserve"> de Créditos para Unidades</w:t>
      </w:r>
      <w:r w:rsidRPr="001E36AD">
        <w:rPr>
          <w:rFonts w:ascii="Arial" w:hAnsi="Arial" w:cs="Arial"/>
          <w:sz w:val="18"/>
          <w:szCs w:val="18"/>
        </w:rPr>
        <w:t xml:space="preserve"> Productiv</w:t>
      </w:r>
      <w:r>
        <w:rPr>
          <w:rFonts w:ascii="Arial" w:hAnsi="Arial" w:cs="Arial"/>
          <w:sz w:val="18"/>
          <w:szCs w:val="18"/>
        </w:rPr>
        <w:t>a</w:t>
      </w:r>
      <w:r w:rsidRPr="001E36AD">
        <w:rPr>
          <w:rFonts w:ascii="Arial" w:hAnsi="Arial" w:cs="Arial"/>
          <w:sz w:val="18"/>
          <w:szCs w:val="18"/>
        </w:rPr>
        <w:t>s” en los municipios de:</w:t>
      </w:r>
      <w:r>
        <w:rPr>
          <w:rFonts w:ascii="Arial" w:hAnsi="Arial" w:cs="Arial"/>
          <w:sz w:val="18"/>
          <w:szCs w:val="18"/>
        </w:rPr>
        <w:t xml:space="preserve"> Apizaco, Terrenate, Chiautempan, El Carmen Tequexquitla, Muñoz de Domingo Arenas, Huamantla y </w:t>
      </w:r>
      <w:proofErr w:type="spellStart"/>
      <w:r>
        <w:rPr>
          <w:rFonts w:ascii="Arial" w:hAnsi="Arial" w:cs="Arial"/>
          <w:sz w:val="18"/>
          <w:szCs w:val="18"/>
        </w:rPr>
        <w:t>Yauhquemehcan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Pr="001E36AD">
        <w:rPr>
          <w:rFonts w:ascii="Arial" w:hAnsi="Arial" w:cs="Arial"/>
          <w:sz w:val="18"/>
          <w:szCs w:val="18"/>
        </w:rPr>
        <w:t xml:space="preserve">brindando atención a </w:t>
      </w:r>
      <w:r>
        <w:rPr>
          <w:rFonts w:ascii="Arial" w:hAnsi="Arial" w:cs="Arial"/>
          <w:sz w:val="18"/>
          <w:szCs w:val="18"/>
        </w:rPr>
        <w:t>698</w:t>
      </w:r>
      <w:r w:rsidRPr="001E36AD">
        <w:rPr>
          <w:rFonts w:ascii="Arial" w:hAnsi="Arial" w:cs="Arial"/>
          <w:sz w:val="18"/>
          <w:szCs w:val="18"/>
        </w:rPr>
        <w:t xml:space="preserve"> personas.</w:t>
      </w:r>
    </w:p>
    <w:p w14:paraId="5C61BAEC" w14:textId="77777777" w:rsidR="003B028F" w:rsidRDefault="003B028F" w:rsidP="003B028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C4CDF74" w14:textId="77777777" w:rsidR="003B028F" w:rsidRDefault="003B028F" w:rsidP="003B028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participó también en los siguientes eventos interinstitucionales de promoción de créditos: “Mercado Joven” (ITJ), “Feria Nacional de Empleo de las Mujeres 2024”, (SNE y SIA), Curso-taller “Modelo de negocios CANVAS” (</w:t>
      </w:r>
      <w:proofErr w:type="spellStart"/>
      <w:r>
        <w:rPr>
          <w:rFonts w:ascii="Arial" w:hAnsi="Arial" w:cs="Arial"/>
          <w:sz w:val="18"/>
          <w:szCs w:val="18"/>
        </w:rPr>
        <w:t>STyC</w:t>
      </w:r>
      <w:proofErr w:type="spellEnd"/>
      <w:r>
        <w:rPr>
          <w:rFonts w:ascii="Arial" w:hAnsi="Arial" w:cs="Arial"/>
          <w:sz w:val="18"/>
          <w:szCs w:val="18"/>
        </w:rPr>
        <w:t>), “Foro de emprendimiento juvenil” (ICATLAX), “Foro de Proveeduría y Crédito-Mujeres 2024” (SEDECO), “1RA. Feria de Empleo para jóvenes en verano 2024” (SNE Tlaxcala), Conferencia “Desarrollo de E-COMMERCE para emprendedores y microempresas” (</w:t>
      </w:r>
      <w:proofErr w:type="spellStart"/>
      <w:r>
        <w:rPr>
          <w:rFonts w:ascii="Arial" w:hAnsi="Arial" w:cs="Arial"/>
          <w:sz w:val="18"/>
          <w:szCs w:val="18"/>
        </w:rPr>
        <w:t>STyC</w:t>
      </w:r>
      <w:proofErr w:type="spellEnd"/>
      <w:r>
        <w:rPr>
          <w:rFonts w:ascii="Arial" w:hAnsi="Arial" w:cs="Arial"/>
          <w:sz w:val="18"/>
          <w:szCs w:val="18"/>
        </w:rPr>
        <w:t>), y el evento “</w:t>
      </w:r>
      <w:proofErr w:type="spellStart"/>
      <w:r>
        <w:rPr>
          <w:rFonts w:ascii="Arial" w:hAnsi="Arial" w:cs="Arial"/>
          <w:sz w:val="18"/>
          <w:szCs w:val="18"/>
        </w:rPr>
        <w:t>Fest</w:t>
      </w:r>
      <w:proofErr w:type="spellEnd"/>
      <w:r>
        <w:rPr>
          <w:rFonts w:ascii="Arial" w:hAnsi="Arial" w:cs="Arial"/>
          <w:sz w:val="18"/>
          <w:szCs w:val="18"/>
        </w:rPr>
        <w:t xml:space="preserve"> Mujer” (IEM).</w:t>
      </w:r>
    </w:p>
    <w:p w14:paraId="1C253850" w14:textId="77777777" w:rsidR="003B028F" w:rsidRDefault="003B028F" w:rsidP="003B028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AEE205D" w14:textId="77777777" w:rsidR="003B028F" w:rsidRPr="001E36AD" w:rsidRDefault="003B028F" w:rsidP="003B028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llevó a cabo la Primera Sesión del Consejo de Administración, en la cual se dio a conocer el nombramiento del </w:t>
      </w:r>
      <w:proofErr w:type="gramStart"/>
      <w:r>
        <w:rPr>
          <w:rFonts w:ascii="Arial" w:hAnsi="Arial" w:cs="Arial"/>
          <w:sz w:val="18"/>
          <w:szCs w:val="18"/>
        </w:rPr>
        <w:t>Director General</w:t>
      </w:r>
      <w:proofErr w:type="gramEnd"/>
      <w:r>
        <w:rPr>
          <w:rFonts w:ascii="Arial" w:hAnsi="Arial" w:cs="Arial"/>
          <w:sz w:val="18"/>
          <w:szCs w:val="18"/>
        </w:rPr>
        <w:t xml:space="preserve"> del “FOMTLAX”; Ing. Juan Dolores Morales Pluma; así mismo se presentó el Informe Anual de Actividades 2023, así como los estados financieros al cierre del ejercicio 2023 y el programa Operativo Anual 2024.</w:t>
      </w:r>
    </w:p>
    <w:p w14:paraId="7C5C7EAD" w14:textId="77777777" w:rsidR="003B028F" w:rsidRDefault="003B028F" w:rsidP="003B028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4968A5">
        <w:rPr>
          <w:rFonts w:ascii="Arial" w:hAnsi="Arial" w:cs="Arial"/>
          <w:sz w:val="18"/>
          <w:szCs w:val="18"/>
        </w:rPr>
        <w:t>.</w:t>
      </w:r>
    </w:p>
    <w:p w14:paraId="0374AC76" w14:textId="77777777" w:rsidR="003B028F" w:rsidRDefault="003B028F" w:rsidP="003B028F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F1D97">
        <w:rPr>
          <w:rFonts w:ascii="Arial" w:hAnsi="Arial" w:cs="Arial"/>
          <w:sz w:val="18"/>
          <w:szCs w:val="18"/>
        </w:rPr>
        <w:t xml:space="preserve">Se </w:t>
      </w:r>
      <w:r>
        <w:rPr>
          <w:rFonts w:ascii="Arial" w:hAnsi="Arial" w:cs="Arial"/>
          <w:sz w:val="18"/>
          <w:szCs w:val="18"/>
        </w:rPr>
        <w:t>llevó a cabo la primera sesión ordinaria</w:t>
      </w:r>
      <w:r w:rsidRPr="00DF1D97">
        <w:rPr>
          <w:rFonts w:ascii="Arial" w:hAnsi="Arial" w:cs="Arial"/>
          <w:sz w:val="18"/>
          <w:szCs w:val="18"/>
        </w:rPr>
        <w:t xml:space="preserve"> del Comité de Control Interno del Fondo Macro para el Desarrollo Integral de Tlaxcala “FOMTLAX”, </w:t>
      </w:r>
      <w:r>
        <w:rPr>
          <w:rFonts w:ascii="Arial" w:hAnsi="Arial" w:cs="Arial"/>
          <w:sz w:val="18"/>
          <w:szCs w:val="18"/>
        </w:rPr>
        <w:t>en la que se presentó el Programa Anual de trabajo 2024 y su seguimiento, así como la reestructuración de los comités</w:t>
      </w:r>
      <w:r w:rsidRPr="00DF1D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 conforman el control interno del Organismo</w:t>
      </w:r>
      <w:r w:rsidRPr="00DF1D97">
        <w:rPr>
          <w:rFonts w:ascii="Arial" w:hAnsi="Arial" w:cs="Arial"/>
          <w:sz w:val="18"/>
          <w:szCs w:val="18"/>
        </w:rPr>
        <w:t>.</w:t>
      </w:r>
    </w:p>
    <w:p w14:paraId="2E08D6DA" w14:textId="77777777" w:rsidR="003B028F" w:rsidRDefault="003B028F" w:rsidP="003B02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273493" w14:textId="77777777" w:rsidR="003B028F" w:rsidRDefault="003B028F" w:rsidP="003B02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A641B">
        <w:rPr>
          <w:rFonts w:ascii="Arial" w:hAnsi="Arial" w:cs="Arial"/>
          <w:sz w:val="18"/>
          <w:szCs w:val="18"/>
        </w:rPr>
        <w:t xml:space="preserve">Personal del “FOMTLAX” recibió </w:t>
      </w:r>
      <w:r>
        <w:rPr>
          <w:rFonts w:ascii="Arial" w:hAnsi="Arial" w:cs="Arial"/>
          <w:sz w:val="18"/>
          <w:szCs w:val="18"/>
        </w:rPr>
        <w:t>los siguientes cursos: “</w:t>
      </w:r>
      <w:r w:rsidRPr="0088559A">
        <w:rPr>
          <w:rFonts w:ascii="Arial" w:hAnsi="Arial" w:cs="Arial"/>
          <w:sz w:val="18"/>
          <w:szCs w:val="18"/>
        </w:rPr>
        <w:t>Reforma Lineamientos Técnicos Generales con los ajustes aprobados por el Sistema Nacional de Transparencia</w:t>
      </w:r>
      <w:r>
        <w:rPr>
          <w:rFonts w:ascii="Arial" w:hAnsi="Arial" w:cs="Arial"/>
          <w:sz w:val="18"/>
          <w:szCs w:val="18"/>
        </w:rPr>
        <w:t>”; (IAIP); “Historia y Cultura Tlaxcalteca” (ICATLAX)</w:t>
      </w:r>
      <w:proofErr w:type="gramStart"/>
      <w:r>
        <w:rPr>
          <w:rFonts w:ascii="Arial" w:hAnsi="Arial" w:cs="Arial"/>
          <w:sz w:val="18"/>
          <w:szCs w:val="18"/>
        </w:rPr>
        <w:t>; ”Socialización</w:t>
      </w:r>
      <w:proofErr w:type="gramEnd"/>
      <w:r>
        <w:rPr>
          <w:rFonts w:ascii="Arial" w:hAnsi="Arial" w:cs="Arial"/>
          <w:sz w:val="18"/>
          <w:szCs w:val="18"/>
        </w:rPr>
        <w:t xml:space="preserve"> del Programa Anual de Verificación al Cumplimiento de las Obligaciones de Transparencia del ejercicio 2024” (</w:t>
      </w:r>
      <w:proofErr w:type="spellStart"/>
      <w:r>
        <w:rPr>
          <w:rFonts w:ascii="Arial" w:hAnsi="Arial" w:cs="Arial"/>
          <w:sz w:val="18"/>
          <w:szCs w:val="18"/>
        </w:rPr>
        <w:t>Iaip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14:paraId="42D5E875" w14:textId="77777777" w:rsidR="00C93559" w:rsidRDefault="00C93559" w:rsidP="00C935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Gobierno del Estado a través del</w:t>
      </w:r>
      <w:r w:rsidRPr="002D3FE8">
        <w:rPr>
          <w:rFonts w:ascii="Arial" w:hAnsi="Arial" w:cs="Arial"/>
          <w:sz w:val="18"/>
          <w:szCs w:val="18"/>
        </w:rPr>
        <w:t xml:space="preserve"> Fondo Macro para el Desarrollo Integral de Tlaxcala</w:t>
      </w:r>
      <w:r>
        <w:rPr>
          <w:rFonts w:ascii="Arial" w:hAnsi="Arial" w:cs="Arial"/>
          <w:sz w:val="18"/>
          <w:szCs w:val="18"/>
        </w:rPr>
        <w:t xml:space="preserve"> “FOMTLAX”, contribuye al desarrollo económico del Estado con el otorgamiento de créditos para</w:t>
      </w:r>
      <w:r w:rsidRPr="002D3FE8">
        <w:rPr>
          <w:rFonts w:ascii="Arial" w:hAnsi="Arial" w:cs="Arial"/>
          <w:sz w:val="18"/>
          <w:szCs w:val="18"/>
        </w:rPr>
        <w:t xml:space="preserve"> las micro y pequeñas empresas </w:t>
      </w:r>
      <w:r>
        <w:rPr>
          <w:rFonts w:ascii="Arial" w:hAnsi="Arial" w:cs="Arial"/>
          <w:sz w:val="18"/>
          <w:szCs w:val="18"/>
        </w:rPr>
        <w:t xml:space="preserve">de los diversos sectores económicos, fomentando el empleo, a </w:t>
      </w:r>
      <w:proofErr w:type="spellStart"/>
      <w:r>
        <w:rPr>
          <w:rFonts w:ascii="Arial" w:hAnsi="Arial" w:cs="Arial"/>
          <w:sz w:val="18"/>
          <w:szCs w:val="18"/>
        </w:rPr>
        <w:t>fín</w:t>
      </w:r>
      <w:proofErr w:type="spellEnd"/>
      <w:r>
        <w:rPr>
          <w:rFonts w:ascii="Arial" w:hAnsi="Arial" w:cs="Arial"/>
          <w:sz w:val="18"/>
          <w:szCs w:val="18"/>
        </w:rPr>
        <w:t xml:space="preserve"> de mejorar el ingreso de las familias tlaxcaltecas.</w:t>
      </w:r>
    </w:p>
    <w:p w14:paraId="2343AACB" w14:textId="77777777" w:rsidR="00C93559" w:rsidRDefault="00C93559" w:rsidP="00C935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mes de enero al mes de junio, se brindó orientación a 782 personas interesadas en obtener un crédito, recibiéndose 817 solicitudes, otorgándose 755 créditos, con una inversión de 27.8 MDP, </w:t>
      </w:r>
      <w:r w:rsidRPr="00E339ED">
        <w:rPr>
          <w:rFonts w:ascii="Arial" w:hAnsi="Arial" w:cs="Arial"/>
          <w:sz w:val="18"/>
          <w:szCs w:val="18"/>
        </w:rPr>
        <w:t xml:space="preserve">que beneficiaron </w:t>
      </w:r>
      <w:r>
        <w:rPr>
          <w:rFonts w:ascii="Arial" w:hAnsi="Arial" w:cs="Arial"/>
          <w:sz w:val="18"/>
          <w:szCs w:val="18"/>
        </w:rPr>
        <w:t xml:space="preserve">a 1,208 familias. Lo anterior aprobado en 24 sesiones ordinarias del Comité de Crédito Interno de este Organismo. </w:t>
      </w:r>
    </w:p>
    <w:p w14:paraId="75FC02DD" w14:textId="77777777" w:rsidR="00C93559" w:rsidRDefault="00C93559" w:rsidP="00C9355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total de créditos, 249 corresponden al Programa “Mujer </w:t>
      </w:r>
      <w:proofErr w:type="spellStart"/>
      <w:r>
        <w:rPr>
          <w:rFonts w:ascii="Arial" w:hAnsi="Arial" w:cs="Arial"/>
          <w:sz w:val="18"/>
          <w:szCs w:val="18"/>
        </w:rPr>
        <w:t>Fomtlax</w:t>
      </w:r>
      <w:proofErr w:type="spellEnd"/>
      <w:r>
        <w:rPr>
          <w:rFonts w:ascii="Arial" w:hAnsi="Arial" w:cs="Arial"/>
          <w:sz w:val="18"/>
          <w:szCs w:val="18"/>
        </w:rPr>
        <w:t>”, en beneficio de igual número de mujeres conformadas en 82 grupos solidarios, por un monto total de 3.1 MDP.</w:t>
      </w:r>
    </w:p>
    <w:p w14:paraId="6006BF4F" w14:textId="77777777" w:rsidR="00C93559" w:rsidRDefault="00C93559" w:rsidP="00C93559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1E36AD">
        <w:rPr>
          <w:rFonts w:ascii="Arial" w:hAnsi="Arial" w:cs="Arial"/>
          <w:sz w:val="18"/>
          <w:szCs w:val="18"/>
        </w:rPr>
        <w:lastRenderedPageBreak/>
        <w:t xml:space="preserve">Se llevaron a cabo pláticas de promoción </w:t>
      </w:r>
      <w:r>
        <w:rPr>
          <w:rFonts w:ascii="Arial" w:hAnsi="Arial" w:cs="Arial"/>
          <w:sz w:val="18"/>
          <w:szCs w:val="18"/>
        </w:rPr>
        <w:t>de</w:t>
      </w:r>
      <w:r w:rsidRPr="001E36AD">
        <w:rPr>
          <w:rFonts w:ascii="Arial" w:hAnsi="Arial" w:cs="Arial"/>
          <w:sz w:val="18"/>
          <w:szCs w:val="18"/>
        </w:rPr>
        <w:t>l “Programa</w:t>
      </w:r>
      <w:r>
        <w:rPr>
          <w:rFonts w:ascii="Arial" w:hAnsi="Arial" w:cs="Arial"/>
          <w:sz w:val="18"/>
          <w:szCs w:val="18"/>
        </w:rPr>
        <w:t xml:space="preserve"> de Créditos para Unidades</w:t>
      </w:r>
      <w:r w:rsidRPr="001E36AD">
        <w:rPr>
          <w:rFonts w:ascii="Arial" w:hAnsi="Arial" w:cs="Arial"/>
          <w:sz w:val="18"/>
          <w:szCs w:val="18"/>
        </w:rPr>
        <w:t xml:space="preserve"> Productiv</w:t>
      </w:r>
      <w:r>
        <w:rPr>
          <w:rFonts w:ascii="Arial" w:hAnsi="Arial" w:cs="Arial"/>
          <w:sz w:val="18"/>
          <w:szCs w:val="18"/>
        </w:rPr>
        <w:t>a</w:t>
      </w:r>
      <w:r w:rsidRPr="001E36AD">
        <w:rPr>
          <w:rFonts w:ascii="Arial" w:hAnsi="Arial" w:cs="Arial"/>
          <w:sz w:val="18"/>
          <w:szCs w:val="18"/>
        </w:rPr>
        <w:t>s” en los municipios de:</w:t>
      </w:r>
      <w:r>
        <w:rPr>
          <w:rFonts w:ascii="Arial" w:hAnsi="Arial" w:cs="Arial"/>
          <w:sz w:val="18"/>
          <w:szCs w:val="18"/>
        </w:rPr>
        <w:t xml:space="preserve"> Apizaco, Terrenate, Chiautempan, El Carmen Tequexquitla, Muñoz de Domingo Arenas, Huamantla y </w:t>
      </w:r>
      <w:proofErr w:type="spellStart"/>
      <w:r>
        <w:rPr>
          <w:rFonts w:ascii="Arial" w:hAnsi="Arial" w:cs="Arial"/>
          <w:sz w:val="18"/>
          <w:szCs w:val="18"/>
        </w:rPr>
        <w:t>Yauhquemehcan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Pr="001E36AD">
        <w:rPr>
          <w:rFonts w:ascii="Arial" w:hAnsi="Arial" w:cs="Arial"/>
          <w:sz w:val="18"/>
          <w:szCs w:val="18"/>
        </w:rPr>
        <w:t xml:space="preserve">brindando atención a </w:t>
      </w:r>
      <w:r>
        <w:rPr>
          <w:rFonts w:ascii="Arial" w:hAnsi="Arial" w:cs="Arial"/>
          <w:sz w:val="18"/>
          <w:szCs w:val="18"/>
        </w:rPr>
        <w:t>698</w:t>
      </w:r>
      <w:r w:rsidRPr="001E36AD">
        <w:rPr>
          <w:rFonts w:ascii="Arial" w:hAnsi="Arial" w:cs="Arial"/>
          <w:sz w:val="18"/>
          <w:szCs w:val="18"/>
        </w:rPr>
        <w:t xml:space="preserve"> personas.</w:t>
      </w:r>
    </w:p>
    <w:p w14:paraId="7DE6309B" w14:textId="77777777" w:rsidR="00C93559" w:rsidRDefault="00C93559" w:rsidP="00C93559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02E3B4A1" w14:textId="77777777" w:rsidR="00C93559" w:rsidRDefault="00C93559" w:rsidP="00C93559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participó también en los siguientes eventos interinstitucionales de promoción de créditos: “Mercado Joven” (ITJ), “Feria Nacional de Empleo de las Mujeres 2024”, (SNE y SIA), Curso-taller “Modelo de negocios CANVAS” (</w:t>
      </w:r>
      <w:proofErr w:type="spellStart"/>
      <w:r>
        <w:rPr>
          <w:rFonts w:ascii="Arial" w:hAnsi="Arial" w:cs="Arial"/>
          <w:sz w:val="18"/>
          <w:szCs w:val="18"/>
        </w:rPr>
        <w:t>STyC</w:t>
      </w:r>
      <w:proofErr w:type="spellEnd"/>
      <w:r>
        <w:rPr>
          <w:rFonts w:ascii="Arial" w:hAnsi="Arial" w:cs="Arial"/>
          <w:sz w:val="18"/>
          <w:szCs w:val="18"/>
        </w:rPr>
        <w:t>), “Foro de emprendimiento juvenil” (ICATLAX), “Foro de Proveeduría y Crédito-Mujeres 2024” (SEDECO), “1RA. Feria de Empleo para jóvenes en verano 2024” (SNE Tlaxcala), Conferencia “Desarrollo de E-COMMERCE para emprendedores y microempresas” (</w:t>
      </w:r>
      <w:proofErr w:type="spellStart"/>
      <w:r>
        <w:rPr>
          <w:rFonts w:ascii="Arial" w:hAnsi="Arial" w:cs="Arial"/>
          <w:sz w:val="18"/>
          <w:szCs w:val="18"/>
        </w:rPr>
        <w:t>STyC</w:t>
      </w:r>
      <w:proofErr w:type="spellEnd"/>
      <w:r>
        <w:rPr>
          <w:rFonts w:ascii="Arial" w:hAnsi="Arial" w:cs="Arial"/>
          <w:sz w:val="18"/>
          <w:szCs w:val="18"/>
        </w:rPr>
        <w:t>), y el evento “</w:t>
      </w:r>
      <w:proofErr w:type="spellStart"/>
      <w:r>
        <w:rPr>
          <w:rFonts w:ascii="Arial" w:hAnsi="Arial" w:cs="Arial"/>
          <w:sz w:val="18"/>
          <w:szCs w:val="18"/>
        </w:rPr>
        <w:t>Fest</w:t>
      </w:r>
      <w:proofErr w:type="spellEnd"/>
      <w:r>
        <w:rPr>
          <w:rFonts w:ascii="Arial" w:hAnsi="Arial" w:cs="Arial"/>
          <w:sz w:val="18"/>
          <w:szCs w:val="18"/>
        </w:rPr>
        <w:t xml:space="preserve"> Mujer” (IEM).</w:t>
      </w:r>
    </w:p>
    <w:p w14:paraId="749543F3" w14:textId="77777777" w:rsidR="00C93559" w:rsidRDefault="00C93559" w:rsidP="00C93559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1D5CBBB7" w14:textId="77777777" w:rsidR="00C93559" w:rsidRPr="001E36AD" w:rsidRDefault="00C93559" w:rsidP="00C93559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llevó a cabo la Primera Sesión del Consejo de Administración, en la cual se dio a conocer el nombramiento del </w:t>
      </w:r>
      <w:proofErr w:type="gramStart"/>
      <w:r>
        <w:rPr>
          <w:rFonts w:ascii="Arial" w:hAnsi="Arial" w:cs="Arial"/>
          <w:sz w:val="18"/>
          <w:szCs w:val="18"/>
        </w:rPr>
        <w:t>Director General</w:t>
      </w:r>
      <w:proofErr w:type="gramEnd"/>
      <w:r>
        <w:rPr>
          <w:rFonts w:ascii="Arial" w:hAnsi="Arial" w:cs="Arial"/>
          <w:sz w:val="18"/>
          <w:szCs w:val="18"/>
        </w:rPr>
        <w:t xml:space="preserve"> del “FOMTLAX”; Ing. Juan Dolores Morales Pluma; así mismo se presentó el Informe Anual de Actividades 2023, así como los estados financieros al cierre del ejercicio 2023 y el programa Operativo Anual 2024.</w:t>
      </w:r>
    </w:p>
    <w:p w14:paraId="099A1E65" w14:textId="77777777" w:rsidR="00C93559" w:rsidRDefault="00C93559" w:rsidP="00C93559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4968A5">
        <w:rPr>
          <w:rFonts w:ascii="Arial" w:hAnsi="Arial" w:cs="Arial"/>
          <w:sz w:val="18"/>
          <w:szCs w:val="18"/>
        </w:rPr>
        <w:t>.</w:t>
      </w:r>
    </w:p>
    <w:p w14:paraId="788CC408" w14:textId="77777777" w:rsidR="00C93559" w:rsidRDefault="00C93559" w:rsidP="00C93559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F1D97">
        <w:rPr>
          <w:rFonts w:ascii="Arial" w:hAnsi="Arial" w:cs="Arial"/>
          <w:sz w:val="18"/>
          <w:szCs w:val="18"/>
        </w:rPr>
        <w:t xml:space="preserve">Se </w:t>
      </w:r>
      <w:r>
        <w:rPr>
          <w:rFonts w:ascii="Arial" w:hAnsi="Arial" w:cs="Arial"/>
          <w:sz w:val="18"/>
          <w:szCs w:val="18"/>
        </w:rPr>
        <w:t>llevó a cabo la primera sesión ordinaria</w:t>
      </w:r>
      <w:r w:rsidRPr="00DF1D97">
        <w:rPr>
          <w:rFonts w:ascii="Arial" w:hAnsi="Arial" w:cs="Arial"/>
          <w:sz w:val="18"/>
          <w:szCs w:val="18"/>
        </w:rPr>
        <w:t xml:space="preserve"> del Comité de Control Interno del Fondo Macro para el Desarrollo Integral de Tlaxcala “FOMTLAX”, </w:t>
      </w:r>
      <w:r>
        <w:rPr>
          <w:rFonts w:ascii="Arial" w:hAnsi="Arial" w:cs="Arial"/>
          <w:sz w:val="18"/>
          <w:szCs w:val="18"/>
        </w:rPr>
        <w:t>en la que se presentó el Programa Anual de trabajo 2024 y su seguimiento, así como la reestructuración de los comités</w:t>
      </w:r>
      <w:r w:rsidRPr="00DF1D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 conforman el control interno del Organismo</w:t>
      </w:r>
      <w:r w:rsidRPr="00DF1D97">
        <w:rPr>
          <w:rFonts w:ascii="Arial" w:hAnsi="Arial" w:cs="Arial"/>
          <w:sz w:val="18"/>
          <w:szCs w:val="18"/>
        </w:rPr>
        <w:t>.</w:t>
      </w:r>
    </w:p>
    <w:p w14:paraId="4B4961B7" w14:textId="77777777" w:rsidR="00C93559" w:rsidRDefault="00C93559" w:rsidP="00C935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36783B" w14:textId="77777777" w:rsidR="00C93559" w:rsidRDefault="00C93559" w:rsidP="00C935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A641B">
        <w:rPr>
          <w:rFonts w:ascii="Arial" w:hAnsi="Arial" w:cs="Arial"/>
          <w:sz w:val="18"/>
          <w:szCs w:val="18"/>
        </w:rPr>
        <w:t xml:space="preserve">Personal del “FOMTLAX” recibió </w:t>
      </w:r>
      <w:r>
        <w:rPr>
          <w:rFonts w:ascii="Arial" w:hAnsi="Arial" w:cs="Arial"/>
          <w:sz w:val="18"/>
          <w:szCs w:val="18"/>
        </w:rPr>
        <w:t>los siguientes cursos: “</w:t>
      </w:r>
      <w:r w:rsidRPr="0088559A">
        <w:rPr>
          <w:rFonts w:ascii="Arial" w:hAnsi="Arial" w:cs="Arial"/>
          <w:sz w:val="18"/>
          <w:szCs w:val="18"/>
        </w:rPr>
        <w:t>Reforma Lineamientos Técnicos Generales con los ajustes aprobados por el Sistema Nacional de Transparencia</w:t>
      </w:r>
      <w:r>
        <w:rPr>
          <w:rFonts w:ascii="Arial" w:hAnsi="Arial" w:cs="Arial"/>
          <w:sz w:val="18"/>
          <w:szCs w:val="18"/>
        </w:rPr>
        <w:t>”; (IAIP); “Historia y Cultura Tlaxcalteca” (ICATLAX)</w:t>
      </w:r>
      <w:proofErr w:type="gramStart"/>
      <w:r>
        <w:rPr>
          <w:rFonts w:ascii="Arial" w:hAnsi="Arial" w:cs="Arial"/>
          <w:sz w:val="18"/>
          <w:szCs w:val="18"/>
        </w:rPr>
        <w:t>; ”Socialización</w:t>
      </w:r>
      <w:proofErr w:type="gramEnd"/>
      <w:r>
        <w:rPr>
          <w:rFonts w:ascii="Arial" w:hAnsi="Arial" w:cs="Arial"/>
          <w:sz w:val="18"/>
          <w:szCs w:val="18"/>
        </w:rPr>
        <w:t xml:space="preserve"> del Programa Anual de Verificación al Cumplimiento de las Obligaciones de Transparencia del ejercicio 2024” (</w:t>
      </w:r>
      <w:proofErr w:type="spellStart"/>
      <w:r>
        <w:rPr>
          <w:rFonts w:ascii="Arial" w:hAnsi="Arial" w:cs="Arial"/>
          <w:sz w:val="18"/>
          <w:szCs w:val="18"/>
        </w:rPr>
        <w:t>Iaip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14:paraId="19AF459B" w14:textId="77777777" w:rsidR="00C93559" w:rsidRDefault="00C93559" w:rsidP="00C935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0DFA70" w14:textId="77777777" w:rsidR="00C93559" w:rsidRDefault="00C93559" w:rsidP="00C935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</w:t>
      </w:r>
      <w:proofErr w:type="gramStart"/>
      <w:r>
        <w:rPr>
          <w:rFonts w:ascii="Arial" w:hAnsi="Arial" w:cs="Arial"/>
          <w:sz w:val="18"/>
          <w:szCs w:val="18"/>
        </w:rPr>
        <w:t>Director</w:t>
      </w:r>
      <w:proofErr w:type="gramEnd"/>
      <w:r>
        <w:rPr>
          <w:rFonts w:ascii="Arial" w:hAnsi="Arial" w:cs="Arial"/>
          <w:sz w:val="18"/>
          <w:szCs w:val="18"/>
        </w:rPr>
        <w:t xml:space="preserve"> del “FOMTLAX”, suscribió el Convenio de Colaboración y Participación con el Instituto Mexicano de Valores S.C., representado por la Lic. Beatriz Carolina Ortiz </w:t>
      </w:r>
      <w:proofErr w:type="spellStart"/>
      <w:r>
        <w:rPr>
          <w:rFonts w:ascii="Arial" w:hAnsi="Arial" w:cs="Arial"/>
          <w:sz w:val="18"/>
          <w:szCs w:val="18"/>
        </w:rPr>
        <w:t>Gallardo</w:t>
      </w:r>
      <w:proofErr w:type="spellEnd"/>
      <w:r>
        <w:rPr>
          <w:rFonts w:ascii="Arial" w:hAnsi="Arial" w:cs="Arial"/>
          <w:sz w:val="18"/>
          <w:szCs w:val="18"/>
        </w:rPr>
        <w:t>, con el objeto de que los alumnos D realicen su servicio social y prácticas profesionales en áreas del “FOMTLAX”.</w:t>
      </w:r>
    </w:p>
    <w:p w14:paraId="574D7E31" w14:textId="77777777" w:rsidR="00C93559" w:rsidRDefault="00C93559" w:rsidP="00C93559">
      <w:pPr>
        <w:shd w:val="clear" w:color="auto" w:fill="FFFFFF"/>
        <w:spacing w:after="90" w:line="240" w:lineRule="auto"/>
        <w:jc w:val="both"/>
        <w:rPr>
          <w:rFonts w:ascii="Arial" w:hAnsi="Arial" w:cs="Arial"/>
          <w:sz w:val="18"/>
          <w:szCs w:val="18"/>
        </w:rPr>
      </w:pPr>
    </w:p>
    <w:p w14:paraId="52EF0008" w14:textId="77777777" w:rsidR="00C93559" w:rsidRDefault="00C93559" w:rsidP="00C935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0592">
        <w:rPr>
          <w:rFonts w:ascii="Arial" w:hAnsi="Arial" w:cs="Arial"/>
          <w:sz w:val="18"/>
          <w:szCs w:val="18"/>
        </w:rPr>
        <w:t xml:space="preserve">Por lo que refiere a la recuperación de la cartera, se continuó con las diversas acciones de tratamientos de cartera a solicitud de acreditados, se llevaron a cabo </w:t>
      </w:r>
      <w:r>
        <w:rPr>
          <w:rFonts w:ascii="Arial" w:hAnsi="Arial" w:cs="Arial"/>
          <w:sz w:val="18"/>
          <w:szCs w:val="18"/>
        </w:rPr>
        <w:t>2,284</w:t>
      </w:r>
      <w:r w:rsidRPr="00820592">
        <w:rPr>
          <w:rFonts w:ascii="Arial" w:hAnsi="Arial" w:cs="Arial"/>
          <w:sz w:val="18"/>
          <w:szCs w:val="18"/>
        </w:rPr>
        <w:t xml:space="preserve"> visitas domiciliarias para entrega de requerimientos de pago, </w:t>
      </w:r>
      <w:r>
        <w:rPr>
          <w:rFonts w:ascii="Arial" w:hAnsi="Arial" w:cs="Arial"/>
          <w:sz w:val="18"/>
          <w:szCs w:val="18"/>
        </w:rPr>
        <w:t>se efectuaron 7,670</w:t>
      </w:r>
      <w:r w:rsidRPr="00820592">
        <w:rPr>
          <w:rFonts w:ascii="Arial" w:hAnsi="Arial" w:cs="Arial"/>
          <w:sz w:val="18"/>
          <w:szCs w:val="18"/>
        </w:rPr>
        <w:t xml:space="preserve"> llamadas telefónicas y se enviaron </w:t>
      </w:r>
      <w:r>
        <w:rPr>
          <w:rFonts w:ascii="Arial" w:hAnsi="Arial" w:cs="Arial"/>
          <w:sz w:val="18"/>
          <w:szCs w:val="18"/>
        </w:rPr>
        <w:t>8,405</w:t>
      </w:r>
      <w:r w:rsidRPr="00820592">
        <w:rPr>
          <w:rFonts w:ascii="Arial" w:hAnsi="Arial" w:cs="Arial"/>
          <w:sz w:val="18"/>
          <w:szCs w:val="18"/>
        </w:rPr>
        <w:t xml:space="preserve"> mensajes a celulares de recordatorio de pago. Del mes de enero al mes de </w:t>
      </w:r>
      <w:r>
        <w:rPr>
          <w:rFonts w:ascii="Arial" w:hAnsi="Arial" w:cs="Arial"/>
          <w:sz w:val="18"/>
          <w:szCs w:val="18"/>
        </w:rPr>
        <w:t xml:space="preserve">junio </w:t>
      </w:r>
      <w:r w:rsidRPr="00820592">
        <w:rPr>
          <w:rFonts w:ascii="Arial" w:hAnsi="Arial" w:cs="Arial"/>
          <w:sz w:val="18"/>
          <w:szCs w:val="18"/>
        </w:rPr>
        <w:t xml:space="preserve">se logró un monto de recuperación </w:t>
      </w:r>
      <w:r>
        <w:rPr>
          <w:rFonts w:ascii="Arial" w:hAnsi="Arial" w:cs="Arial"/>
          <w:sz w:val="18"/>
          <w:szCs w:val="18"/>
        </w:rPr>
        <w:t>de</w:t>
      </w:r>
      <w:r w:rsidRPr="008205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31.2</w:t>
      </w:r>
      <w:r w:rsidRPr="00820592">
        <w:rPr>
          <w:rFonts w:ascii="Arial" w:hAnsi="Arial" w:cs="Arial"/>
          <w:sz w:val="18"/>
          <w:szCs w:val="18"/>
        </w:rPr>
        <w:t xml:space="preserve"> MDP.</w:t>
      </w:r>
    </w:p>
    <w:p w14:paraId="0F18BAE8" w14:textId="77777777" w:rsidR="003B028F" w:rsidRDefault="003B028F" w:rsidP="003B02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C6FF0B" w14:textId="77777777" w:rsidR="003B028F" w:rsidRDefault="003B028F" w:rsidP="003B02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</w:t>
      </w:r>
      <w:proofErr w:type="gramStart"/>
      <w:r>
        <w:rPr>
          <w:rFonts w:ascii="Arial" w:hAnsi="Arial" w:cs="Arial"/>
          <w:sz w:val="18"/>
          <w:szCs w:val="18"/>
        </w:rPr>
        <w:t>Director</w:t>
      </w:r>
      <w:proofErr w:type="gramEnd"/>
      <w:r>
        <w:rPr>
          <w:rFonts w:ascii="Arial" w:hAnsi="Arial" w:cs="Arial"/>
          <w:sz w:val="18"/>
          <w:szCs w:val="18"/>
        </w:rPr>
        <w:t xml:space="preserve"> del “FOMTLAX”, suscribió el Convenio de Colaboración y Participación con el Instituto Mexicano de Valores S.C., representado por la Lic. Beatriz Carolina Ortiz </w:t>
      </w:r>
      <w:proofErr w:type="spellStart"/>
      <w:r>
        <w:rPr>
          <w:rFonts w:ascii="Arial" w:hAnsi="Arial" w:cs="Arial"/>
          <w:sz w:val="18"/>
          <w:szCs w:val="18"/>
        </w:rPr>
        <w:t>Gallardo</w:t>
      </w:r>
      <w:proofErr w:type="spellEnd"/>
      <w:r>
        <w:rPr>
          <w:rFonts w:ascii="Arial" w:hAnsi="Arial" w:cs="Arial"/>
          <w:sz w:val="18"/>
          <w:szCs w:val="18"/>
        </w:rPr>
        <w:t>, con el objeto de que los alumnos D realicen su servicio social y prácticas profesionales en áreas del “FOMTLAX”.</w:t>
      </w:r>
    </w:p>
    <w:p w14:paraId="67331BA4" w14:textId="77777777" w:rsidR="003B028F" w:rsidRDefault="003B028F" w:rsidP="003B028F">
      <w:pPr>
        <w:shd w:val="clear" w:color="auto" w:fill="FFFFFF"/>
        <w:spacing w:after="90" w:line="240" w:lineRule="auto"/>
        <w:jc w:val="both"/>
        <w:rPr>
          <w:rFonts w:ascii="Arial" w:hAnsi="Arial" w:cs="Arial"/>
          <w:sz w:val="18"/>
          <w:szCs w:val="18"/>
        </w:rPr>
      </w:pPr>
    </w:p>
    <w:p w14:paraId="2EB849D5" w14:textId="77777777" w:rsidR="003B028F" w:rsidRDefault="003B028F" w:rsidP="003B02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0592">
        <w:rPr>
          <w:rFonts w:ascii="Arial" w:hAnsi="Arial" w:cs="Arial"/>
          <w:sz w:val="18"/>
          <w:szCs w:val="18"/>
        </w:rPr>
        <w:t xml:space="preserve">Por lo que refiere a la recuperación de la cartera, se continuó con las diversas acciones de tratamientos de cartera a solicitud de acreditados, se llevaron a cabo </w:t>
      </w:r>
      <w:r>
        <w:rPr>
          <w:rFonts w:ascii="Arial" w:hAnsi="Arial" w:cs="Arial"/>
          <w:sz w:val="18"/>
          <w:szCs w:val="18"/>
        </w:rPr>
        <w:t>2,284</w:t>
      </w:r>
      <w:r w:rsidRPr="00820592">
        <w:rPr>
          <w:rFonts w:ascii="Arial" w:hAnsi="Arial" w:cs="Arial"/>
          <w:sz w:val="18"/>
          <w:szCs w:val="18"/>
        </w:rPr>
        <w:t xml:space="preserve"> visitas domiciliarias para entrega de requerimientos de pago, </w:t>
      </w:r>
      <w:r>
        <w:rPr>
          <w:rFonts w:ascii="Arial" w:hAnsi="Arial" w:cs="Arial"/>
          <w:sz w:val="18"/>
          <w:szCs w:val="18"/>
        </w:rPr>
        <w:t>se efectuaron 7,670</w:t>
      </w:r>
      <w:r w:rsidRPr="00820592">
        <w:rPr>
          <w:rFonts w:ascii="Arial" w:hAnsi="Arial" w:cs="Arial"/>
          <w:sz w:val="18"/>
          <w:szCs w:val="18"/>
        </w:rPr>
        <w:t xml:space="preserve"> llamadas telefónicas y se enviaron </w:t>
      </w:r>
      <w:r>
        <w:rPr>
          <w:rFonts w:ascii="Arial" w:hAnsi="Arial" w:cs="Arial"/>
          <w:sz w:val="18"/>
          <w:szCs w:val="18"/>
        </w:rPr>
        <w:t>8,405</w:t>
      </w:r>
      <w:r w:rsidRPr="00820592">
        <w:rPr>
          <w:rFonts w:ascii="Arial" w:hAnsi="Arial" w:cs="Arial"/>
          <w:sz w:val="18"/>
          <w:szCs w:val="18"/>
        </w:rPr>
        <w:t xml:space="preserve"> mensajes a celulares de recordatorio de pago. Del mes de enero al mes de </w:t>
      </w:r>
      <w:r>
        <w:rPr>
          <w:rFonts w:ascii="Arial" w:hAnsi="Arial" w:cs="Arial"/>
          <w:sz w:val="18"/>
          <w:szCs w:val="18"/>
        </w:rPr>
        <w:t xml:space="preserve">junio </w:t>
      </w:r>
      <w:r w:rsidRPr="00820592">
        <w:rPr>
          <w:rFonts w:ascii="Arial" w:hAnsi="Arial" w:cs="Arial"/>
          <w:sz w:val="18"/>
          <w:szCs w:val="18"/>
        </w:rPr>
        <w:t xml:space="preserve">se logró un monto de recuperación </w:t>
      </w:r>
      <w:r>
        <w:rPr>
          <w:rFonts w:ascii="Arial" w:hAnsi="Arial" w:cs="Arial"/>
          <w:sz w:val="18"/>
          <w:szCs w:val="18"/>
        </w:rPr>
        <w:t>de</w:t>
      </w:r>
      <w:r w:rsidRPr="008205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31.2</w:t>
      </w:r>
      <w:r w:rsidRPr="00820592">
        <w:rPr>
          <w:rFonts w:ascii="Arial" w:hAnsi="Arial" w:cs="Arial"/>
          <w:sz w:val="18"/>
          <w:szCs w:val="18"/>
        </w:rPr>
        <w:t xml:space="preserve"> MDP.</w:t>
      </w:r>
    </w:p>
    <w:p w14:paraId="0B4E1F4A" w14:textId="77777777" w:rsidR="00C93559" w:rsidRDefault="00C93559" w:rsidP="003B02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115403" w14:textId="11D414BC" w:rsidR="00F474E9" w:rsidRDefault="00ED65D7" w:rsidP="00F474E9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órganos político-administrativos de las demarcaciones territoriales por conducto del Gobierno del 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14:paraId="6C070C25" w14:textId="77777777" w:rsidR="00A71207" w:rsidRDefault="00A71207" w:rsidP="00F474E9">
      <w:pPr>
        <w:jc w:val="both"/>
        <w:rPr>
          <w:rFonts w:ascii="Arial" w:hAnsi="Arial" w:cs="Arial"/>
          <w:sz w:val="18"/>
          <w:szCs w:val="18"/>
        </w:rPr>
      </w:pPr>
    </w:p>
    <w:p w14:paraId="42D0DFEA" w14:textId="33DC8413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Introducción</w:t>
      </w:r>
    </w:p>
    <w:p w14:paraId="622AF244" w14:textId="63477179" w:rsidR="00AD791F" w:rsidRPr="00A71207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7"/>
          <w:szCs w:val="17"/>
        </w:rPr>
      </w:pPr>
    </w:p>
    <w:p w14:paraId="249D07E0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Información Contable</w:t>
      </w:r>
    </w:p>
    <w:p w14:paraId="3743E8CD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Actividades</w:t>
      </w:r>
    </w:p>
    <w:p w14:paraId="4346E4CD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Situación Financiera</w:t>
      </w:r>
    </w:p>
    <w:p w14:paraId="11C46EA2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Cambios en la Situación Financiera</w:t>
      </w:r>
    </w:p>
    <w:p w14:paraId="37D4EE61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Activo</w:t>
      </w:r>
    </w:p>
    <w:p w14:paraId="7EC9DB8C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 la Deuda y Otros Pasivos</w:t>
      </w:r>
    </w:p>
    <w:p w14:paraId="20F881AC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Variación de la Hacienda Pública</w:t>
      </w:r>
    </w:p>
    <w:p w14:paraId="7893680A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Flujos de Efectivo</w:t>
      </w:r>
    </w:p>
    <w:p w14:paraId="4A0B4F8D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Informe de Pasivos Contingentes</w:t>
      </w:r>
    </w:p>
    <w:p w14:paraId="2EF7C13F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a los Estados Financieros</w:t>
      </w:r>
    </w:p>
    <w:p w14:paraId="71BD4C60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Desglose</w:t>
      </w:r>
    </w:p>
    <w:p w14:paraId="0627EB73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Memoria (cuentas de orden)</w:t>
      </w:r>
    </w:p>
    <w:p w14:paraId="448055E5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Gestión Administrativa</w:t>
      </w:r>
    </w:p>
    <w:p w14:paraId="1FBE73DA" w14:textId="77777777" w:rsidR="006E1FB7" w:rsidRDefault="006E1FB7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7"/>
          <w:szCs w:val="17"/>
        </w:rPr>
      </w:pPr>
    </w:p>
    <w:p w14:paraId="6FE52BC1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Información Presupuestaria</w:t>
      </w:r>
    </w:p>
    <w:p w14:paraId="45CC7F8D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 Ingresos (por rubro y por fuente de financiamiento)</w:t>
      </w:r>
    </w:p>
    <w:p w14:paraId="5146288D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Presupuesto de Egresos Clasificación Administrativa</w:t>
      </w:r>
    </w:p>
    <w:p w14:paraId="0B8E8B62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por Objeto del Gasto (capitulo y concepto)</w:t>
      </w:r>
    </w:p>
    <w:p w14:paraId="7685E020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Económica (por tipo de gasto)</w:t>
      </w:r>
    </w:p>
    <w:p w14:paraId="08F42E4E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Funcional (Finalidad y Función)</w:t>
      </w:r>
    </w:p>
    <w:p w14:paraId="1AA1116C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Endeudamiento Neto</w:t>
      </w:r>
    </w:p>
    <w:p w14:paraId="302620B8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Intereses de Deuda</w:t>
      </w:r>
    </w:p>
    <w:p w14:paraId="41C20D6F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Indicadores de Postura Fiscal</w:t>
      </w:r>
    </w:p>
    <w:p w14:paraId="3A7197E0" w14:textId="32DC37FB" w:rsidR="00A71207" w:rsidRDefault="00A71207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7"/>
          <w:szCs w:val="17"/>
        </w:rPr>
      </w:pPr>
    </w:p>
    <w:p w14:paraId="6ADED82E" w14:textId="77777777" w:rsidR="00AD791F" w:rsidRPr="00A71207" w:rsidRDefault="00AD791F" w:rsidP="0006778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Información Programática</w:t>
      </w:r>
    </w:p>
    <w:p w14:paraId="0218550D" w14:textId="77777777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Gastos por Categoría Programática</w:t>
      </w:r>
    </w:p>
    <w:p w14:paraId="7A837C68" w14:textId="77777777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Programas y Proyectos de Inversión</w:t>
      </w:r>
    </w:p>
    <w:p w14:paraId="214893D4" w14:textId="75D49CF2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Indicadores de Resultados</w:t>
      </w:r>
    </w:p>
    <w:p w14:paraId="7895E5A0" w14:textId="77777777" w:rsidR="00FF41A1" w:rsidRDefault="00FF41A1" w:rsidP="00FF41A1">
      <w:pPr>
        <w:pStyle w:val="Prrafodelista"/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7"/>
          <w:szCs w:val="17"/>
        </w:rPr>
      </w:pPr>
    </w:p>
    <w:p w14:paraId="2FB0026C" w14:textId="77777777" w:rsidR="00005951" w:rsidRPr="00A71207" w:rsidRDefault="00005951" w:rsidP="00FF41A1">
      <w:pPr>
        <w:pStyle w:val="Prrafodelista"/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7"/>
          <w:szCs w:val="17"/>
        </w:rPr>
      </w:pPr>
    </w:p>
    <w:p w14:paraId="77EFF290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Anexos</w:t>
      </w:r>
    </w:p>
    <w:p w14:paraId="4B397586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Bienes Muebles que Componen el Patrimonio</w:t>
      </w:r>
    </w:p>
    <w:p w14:paraId="765E6F37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Bienes Inmuebles que Componen el Patrimonio</w:t>
      </w:r>
    </w:p>
    <w:p w14:paraId="1FDD9382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Cuentas Bancarias Productivas Especificas</w:t>
      </w:r>
    </w:p>
    <w:p w14:paraId="246FD94D" w14:textId="77777777" w:rsidR="004137E3" w:rsidRPr="00A71207" w:rsidRDefault="00AD791F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Esquemas Bursátiles y de Coberturas Financieras</w:t>
      </w:r>
    </w:p>
    <w:p w14:paraId="0698D022" w14:textId="3599756C" w:rsidR="00B43C7F" w:rsidRPr="00A71207" w:rsidRDefault="00067787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 xml:space="preserve">Balanza de Comprobación. </w:t>
      </w:r>
    </w:p>
    <w:p w14:paraId="037CD7E4" w14:textId="09F55A1F" w:rsidR="004137E3" w:rsidRPr="00A71207" w:rsidRDefault="004137E3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Auxiliares Contables</w:t>
      </w:r>
    </w:p>
    <w:p w14:paraId="2F755396" w14:textId="69AD801D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Bancos</w:t>
      </w:r>
    </w:p>
    <w:p w14:paraId="431473EA" w14:textId="6BA77CDC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Conciliaciones Bancarias</w:t>
      </w:r>
      <w:r w:rsidR="004137E3" w:rsidRPr="00A71207">
        <w:rPr>
          <w:rFonts w:ascii="Arial" w:eastAsia="Times New Roman" w:hAnsi="Arial" w:cs="Arial"/>
          <w:sz w:val="17"/>
          <w:szCs w:val="17"/>
        </w:rPr>
        <w:t xml:space="preserve"> y Estados de cuenta Bancaria</w:t>
      </w:r>
    </w:p>
    <w:p w14:paraId="6E6546FC" w14:textId="5616142A" w:rsidR="004137E3" w:rsidRPr="00A71207" w:rsidRDefault="004137E3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bookmarkStart w:id="0" w:name="_Hlk36026404"/>
      <w:bookmarkStart w:id="1" w:name="_Hlk36027996"/>
      <w:r w:rsidRPr="00A71207">
        <w:rPr>
          <w:rFonts w:ascii="Arial" w:eastAsia="Times New Roman" w:hAnsi="Arial" w:cs="Arial"/>
          <w:sz w:val="17"/>
          <w:szCs w:val="17"/>
        </w:rPr>
        <w:t>Estado Presupuestario de Ingresos desagregado por concepto</w:t>
      </w:r>
      <w:bookmarkStart w:id="2" w:name="_Hlk107994875"/>
      <w:r w:rsidR="00380130">
        <w:rPr>
          <w:rFonts w:ascii="Arial" w:eastAsia="Times New Roman" w:hAnsi="Arial" w:cs="Arial"/>
          <w:sz w:val="17"/>
          <w:szCs w:val="17"/>
        </w:rPr>
        <w:t>. (Trimestral y acumulado)</w:t>
      </w:r>
    </w:p>
    <w:bookmarkEnd w:id="0"/>
    <w:bookmarkEnd w:id="2"/>
    <w:p w14:paraId="40BCBD37" w14:textId="1E5849BF" w:rsidR="004137E3" w:rsidRPr="00A71207" w:rsidRDefault="004137E3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Estado Presupuestario de Egresos desagregado por partida, del periodo y acumulado</w:t>
      </w:r>
      <w:r w:rsidR="00380130">
        <w:rPr>
          <w:rFonts w:ascii="Arial" w:eastAsia="Times New Roman" w:hAnsi="Arial" w:cs="Arial"/>
          <w:sz w:val="17"/>
          <w:szCs w:val="17"/>
        </w:rPr>
        <w:t>. (Trimestral y acumulado)</w:t>
      </w:r>
    </w:p>
    <w:p w14:paraId="05E3266E" w14:textId="456C7D4F" w:rsidR="004137E3" w:rsidRPr="00A71207" w:rsidRDefault="004137E3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Avance del Programa Operativo Anual</w:t>
      </w:r>
    </w:p>
    <w:p w14:paraId="6E1007DA" w14:textId="566745EA" w:rsidR="004137E3" w:rsidRPr="00A71207" w:rsidRDefault="004137E3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Inventario de Bienes Muebles, Inmuebles e Intangibles, clasificado y cuantificado</w:t>
      </w:r>
    </w:p>
    <w:p w14:paraId="3AE65CA4" w14:textId="75B27792" w:rsidR="00067787" w:rsidRPr="00A71207" w:rsidRDefault="00067787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Ingresos Trimestral</w:t>
      </w:r>
      <w:r w:rsidR="00380130">
        <w:rPr>
          <w:rFonts w:ascii="Arial" w:eastAsia="Times New Roman" w:hAnsi="Arial" w:cs="Arial"/>
          <w:sz w:val="17"/>
          <w:szCs w:val="17"/>
        </w:rPr>
        <w:t xml:space="preserve"> y Acumulado</w:t>
      </w:r>
    </w:p>
    <w:p w14:paraId="327CD9CB" w14:textId="58E25057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Egresos Trimestral</w:t>
      </w:r>
      <w:r w:rsidR="00380130">
        <w:rPr>
          <w:rFonts w:ascii="Arial" w:eastAsia="Times New Roman" w:hAnsi="Arial" w:cs="Arial"/>
          <w:sz w:val="17"/>
          <w:szCs w:val="17"/>
        </w:rPr>
        <w:t xml:space="preserve"> y Acumulado</w:t>
      </w:r>
    </w:p>
    <w:p w14:paraId="1BD1E286" w14:textId="7D410FD6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Plantilla de Personal</w:t>
      </w:r>
      <w:r w:rsidR="004137E3" w:rsidRPr="00A71207">
        <w:rPr>
          <w:rFonts w:ascii="Arial" w:eastAsia="Times New Roman" w:hAnsi="Arial" w:cs="Arial"/>
          <w:sz w:val="17"/>
          <w:szCs w:val="17"/>
        </w:rPr>
        <w:t xml:space="preserve"> Trimestral</w:t>
      </w:r>
    </w:p>
    <w:p w14:paraId="54DBBEC5" w14:textId="299712C1" w:rsidR="00067787" w:rsidRPr="00A71207" w:rsidRDefault="004137E3" w:rsidP="00B43C7F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 xml:space="preserve">Libro </w:t>
      </w:r>
      <w:r w:rsidR="00067787" w:rsidRPr="00A71207">
        <w:rPr>
          <w:rFonts w:ascii="Arial" w:eastAsia="Times New Roman" w:hAnsi="Arial" w:cs="Arial"/>
          <w:sz w:val="17"/>
          <w:szCs w:val="17"/>
        </w:rPr>
        <w:t>Diario.</w:t>
      </w:r>
    </w:p>
    <w:p w14:paraId="23B731AF" w14:textId="77777777" w:rsidR="00FF41A1" w:rsidRPr="00A71207" w:rsidRDefault="00FF41A1" w:rsidP="00FF41A1">
      <w:pPr>
        <w:spacing w:after="0" w:line="360" w:lineRule="auto"/>
        <w:ind w:left="1068"/>
        <w:jc w:val="both"/>
        <w:rPr>
          <w:rFonts w:ascii="Arial" w:eastAsia="Times New Roman" w:hAnsi="Arial" w:cs="Arial"/>
          <w:sz w:val="17"/>
          <w:szCs w:val="17"/>
        </w:rPr>
      </w:pPr>
    </w:p>
    <w:bookmarkEnd w:id="1"/>
    <w:p w14:paraId="609D01A2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Formatos de Disciplina Financiera</w:t>
      </w:r>
    </w:p>
    <w:p w14:paraId="0254954C" w14:textId="77777777" w:rsidR="00042519" w:rsidRPr="00A71207" w:rsidRDefault="00042519" w:rsidP="00C762B8">
      <w:pPr>
        <w:pStyle w:val="Texto"/>
        <w:numPr>
          <w:ilvl w:val="0"/>
          <w:numId w:val="13"/>
        </w:numPr>
        <w:spacing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1   </w:t>
      </w:r>
      <w:r w:rsidRPr="00A71207">
        <w:rPr>
          <w:sz w:val="17"/>
          <w:szCs w:val="17"/>
        </w:rPr>
        <w:t>Estado de Situación Financiera Detallado - LDF</w:t>
      </w:r>
    </w:p>
    <w:p w14:paraId="77AA3568" w14:textId="77777777" w:rsidR="00042519" w:rsidRPr="00A71207" w:rsidRDefault="00042519" w:rsidP="00C762B8">
      <w:pPr>
        <w:pStyle w:val="Prrafodelista"/>
        <w:numPr>
          <w:ilvl w:val="0"/>
          <w:numId w:val="13"/>
        </w:numPr>
        <w:spacing w:after="0" w:line="240" w:lineRule="auto"/>
        <w:ind w:left="1077" w:hanging="357"/>
        <w:rPr>
          <w:rFonts w:ascii="Arial" w:eastAsia="Times New Roman" w:hAnsi="Arial" w:cs="Arial"/>
          <w:b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 xml:space="preserve">Formato 2   </w:t>
      </w:r>
      <w:r w:rsidRPr="00A71207">
        <w:rPr>
          <w:rFonts w:ascii="Arial" w:eastAsia="Times New Roman" w:hAnsi="Arial" w:cs="Arial"/>
          <w:sz w:val="17"/>
          <w:szCs w:val="17"/>
        </w:rPr>
        <w:t>Informe Analítico de la Deuda Pública y Otros Pasivos – LDF</w:t>
      </w:r>
    </w:p>
    <w:p w14:paraId="57DC6EE0" w14:textId="77777777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 xml:space="preserve">Formato 3  </w:t>
      </w:r>
      <w:r w:rsidRPr="00A71207">
        <w:rPr>
          <w:rFonts w:ascii="Arial" w:eastAsia="Times New Roman" w:hAnsi="Arial" w:cs="Arial"/>
          <w:sz w:val="17"/>
          <w:szCs w:val="17"/>
        </w:rPr>
        <w:t xml:space="preserve"> Informe Analítico de Obligaciones Diferentes de Financiamientos – LDF</w:t>
      </w:r>
    </w:p>
    <w:p w14:paraId="2BDF985A" w14:textId="1CAE99C8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>Formato 4</w:t>
      </w:r>
      <w:r w:rsidR="00C762B8" w:rsidRPr="00A71207">
        <w:rPr>
          <w:rFonts w:ascii="Arial" w:eastAsia="Times New Roman" w:hAnsi="Arial" w:cs="Arial"/>
          <w:b/>
          <w:sz w:val="17"/>
          <w:szCs w:val="17"/>
        </w:rPr>
        <w:t xml:space="preserve">  </w:t>
      </w:r>
      <w:r w:rsidRPr="00A71207">
        <w:rPr>
          <w:rFonts w:ascii="Arial" w:eastAsia="Times New Roman" w:hAnsi="Arial" w:cs="Arial"/>
          <w:sz w:val="17"/>
          <w:szCs w:val="17"/>
        </w:rPr>
        <w:t xml:space="preserve"> Balance Presupuestario – LDF</w:t>
      </w:r>
    </w:p>
    <w:p w14:paraId="45324982" w14:textId="66D9F0D5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>Formato 5</w:t>
      </w:r>
      <w:r w:rsidRPr="00A71207">
        <w:rPr>
          <w:rFonts w:ascii="Arial" w:eastAsia="Times New Roman" w:hAnsi="Arial" w:cs="Arial"/>
          <w:sz w:val="17"/>
          <w:szCs w:val="17"/>
        </w:rPr>
        <w:t xml:space="preserve"> </w:t>
      </w:r>
      <w:r w:rsidR="00C762B8" w:rsidRPr="00A71207">
        <w:rPr>
          <w:rFonts w:ascii="Arial" w:eastAsia="Times New Roman" w:hAnsi="Arial" w:cs="Arial"/>
          <w:sz w:val="17"/>
          <w:szCs w:val="17"/>
        </w:rPr>
        <w:t xml:space="preserve">  </w:t>
      </w:r>
      <w:r w:rsidRPr="00A71207">
        <w:rPr>
          <w:rFonts w:ascii="Arial" w:eastAsia="Times New Roman" w:hAnsi="Arial" w:cs="Arial"/>
          <w:sz w:val="17"/>
          <w:szCs w:val="17"/>
        </w:rPr>
        <w:t>Estado Analítico de Ingresos Detallado – LDF</w:t>
      </w:r>
    </w:p>
    <w:p w14:paraId="2F11613C" w14:textId="76D20C64" w:rsidR="00042519" w:rsidRPr="00A71207" w:rsidRDefault="00042519" w:rsidP="00C762B8">
      <w:pPr>
        <w:pStyle w:val="Texto"/>
        <w:numPr>
          <w:ilvl w:val="0"/>
          <w:numId w:val="13"/>
        </w:numPr>
        <w:spacing w:after="0"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6a </w:t>
      </w:r>
      <w:r w:rsidRPr="00A71207">
        <w:rPr>
          <w:sz w:val="17"/>
          <w:szCs w:val="17"/>
        </w:rPr>
        <w:t>Estado Analítico del Ejercicio del Presupuesto de Egresos Detallado – LDF (Clasificación por Objeto del Gasto)</w:t>
      </w:r>
    </w:p>
    <w:p w14:paraId="57632CD8" w14:textId="6D784B5B" w:rsidR="00042519" w:rsidRPr="00A71207" w:rsidRDefault="00042519" w:rsidP="00C762B8">
      <w:pPr>
        <w:pStyle w:val="Texto"/>
        <w:numPr>
          <w:ilvl w:val="0"/>
          <w:numId w:val="13"/>
        </w:numPr>
        <w:tabs>
          <w:tab w:val="left" w:pos="1620"/>
        </w:tabs>
        <w:spacing w:line="240" w:lineRule="auto"/>
        <w:ind w:left="1077" w:hanging="357"/>
        <w:rPr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6b </w:t>
      </w:r>
      <w:r w:rsidRPr="00A71207">
        <w:rPr>
          <w:sz w:val="17"/>
          <w:szCs w:val="17"/>
        </w:rPr>
        <w:t>Estado Analítico del Ejercicio del Presupuesto de Egresos Detallado – LDF (Clasificación Administrativa)</w:t>
      </w:r>
    </w:p>
    <w:p w14:paraId="5AADDB2B" w14:textId="4BC4FAFD" w:rsidR="00042519" w:rsidRPr="00A71207" w:rsidRDefault="00042519" w:rsidP="00C762B8">
      <w:pPr>
        <w:pStyle w:val="Texto"/>
        <w:numPr>
          <w:ilvl w:val="0"/>
          <w:numId w:val="13"/>
        </w:numPr>
        <w:spacing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6c </w:t>
      </w:r>
      <w:r w:rsidRPr="00A71207">
        <w:rPr>
          <w:sz w:val="17"/>
          <w:szCs w:val="17"/>
        </w:rPr>
        <w:t>Estado Analítico del Ejercicio del Presupuesto de Egresos Detallado – LDF (Clasificación Funcional)</w:t>
      </w:r>
    </w:p>
    <w:p w14:paraId="30F8B191" w14:textId="7E37D8A5" w:rsidR="00C762B8" w:rsidRPr="00A71207" w:rsidRDefault="00042519" w:rsidP="00C762B8">
      <w:pPr>
        <w:pStyle w:val="Texto"/>
        <w:numPr>
          <w:ilvl w:val="0"/>
          <w:numId w:val="13"/>
        </w:numPr>
        <w:tabs>
          <w:tab w:val="left" w:pos="1530"/>
        </w:tabs>
        <w:spacing w:line="288" w:lineRule="auto"/>
        <w:ind w:left="1077" w:hanging="357"/>
        <w:rPr>
          <w:rFonts w:cs="Times New Roman"/>
          <w:sz w:val="17"/>
          <w:szCs w:val="17"/>
          <w:lang w:eastAsia="hi-IN"/>
        </w:rPr>
      </w:pPr>
      <w:r w:rsidRPr="00A71207">
        <w:rPr>
          <w:b/>
          <w:sz w:val="17"/>
          <w:szCs w:val="17"/>
        </w:rPr>
        <w:t xml:space="preserve">Formato 6d </w:t>
      </w:r>
      <w:r w:rsidRPr="00A71207">
        <w:rPr>
          <w:sz w:val="17"/>
          <w:szCs w:val="17"/>
        </w:rPr>
        <w:t>Estado Analítico del Ejercicio del Presupuesto de Egresos Detallado – LDF (Clasificación de Servicios Personales por Categoría)</w:t>
      </w:r>
      <w:r w:rsidR="00C762B8" w:rsidRPr="00A71207">
        <w:rPr>
          <w:rFonts w:cs="Times New Roman"/>
          <w:sz w:val="17"/>
          <w:szCs w:val="17"/>
          <w:lang w:eastAsia="hi-IN"/>
        </w:rPr>
        <w:t xml:space="preserve">  </w:t>
      </w:r>
    </w:p>
    <w:sectPr w:rsidR="00C762B8" w:rsidRPr="00A71207" w:rsidSect="00287324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7" w:right="1701" w:bottom="141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731A4" w14:textId="77777777" w:rsidR="00891E2E" w:rsidRDefault="00891E2E" w:rsidP="00EA5418">
      <w:pPr>
        <w:spacing w:after="0" w:line="240" w:lineRule="auto"/>
      </w:pPr>
      <w:r>
        <w:separator/>
      </w:r>
    </w:p>
  </w:endnote>
  <w:endnote w:type="continuationSeparator" w:id="0">
    <w:p w14:paraId="148FE056" w14:textId="77777777" w:rsidR="00891E2E" w:rsidRDefault="00891E2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F44E" w14:textId="5724075D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0EE057A">
        <v:line id="12 Conector recto" o:spid="_x0000_s1026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516D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516D8" w:rsidRPr="0013011C">
          <w:rPr>
            <w:rFonts w:ascii="Soberana Sans Light" w:hAnsi="Soberana Sans Light"/>
          </w:rPr>
          <w:fldChar w:fldCharType="separate"/>
        </w:r>
        <w:r w:rsidR="006A4F83" w:rsidRPr="006A4F83">
          <w:rPr>
            <w:rFonts w:ascii="Soberana Sans Light" w:hAnsi="Soberana Sans Light"/>
            <w:noProof/>
            <w:lang w:val="es-ES"/>
          </w:rPr>
          <w:t>4</w:t>
        </w:r>
        <w:r w:rsidR="00A516D8" w:rsidRPr="0013011C">
          <w:rPr>
            <w:rFonts w:ascii="Soberana Sans Light" w:hAnsi="Soberana Sans Light"/>
          </w:rPr>
          <w:fldChar w:fldCharType="end"/>
        </w:r>
      </w:sdtContent>
    </w:sdt>
  </w:p>
  <w:p w14:paraId="2733285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9C3BD" w14:textId="211E9BEB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654EB97">
        <v:line id="3 Conector recto" o:spid="_x0000_s1025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516D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516D8" w:rsidRPr="008E3652">
          <w:rPr>
            <w:rFonts w:ascii="Soberana Sans Light" w:hAnsi="Soberana Sans Light"/>
          </w:rPr>
          <w:fldChar w:fldCharType="separate"/>
        </w:r>
        <w:r w:rsidR="006A4F83" w:rsidRPr="006A4F83">
          <w:rPr>
            <w:rFonts w:ascii="Soberana Sans Light" w:hAnsi="Soberana Sans Light"/>
            <w:noProof/>
            <w:lang w:val="es-ES"/>
          </w:rPr>
          <w:t>3</w:t>
        </w:r>
        <w:r w:rsidR="00A516D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BFBFA" w14:textId="77777777" w:rsidR="00891E2E" w:rsidRDefault="00891E2E" w:rsidP="00EA5418">
      <w:pPr>
        <w:spacing w:after="0" w:line="240" w:lineRule="auto"/>
      </w:pPr>
      <w:r>
        <w:separator/>
      </w:r>
    </w:p>
  </w:footnote>
  <w:footnote w:type="continuationSeparator" w:id="0">
    <w:p w14:paraId="7F3BCFB6" w14:textId="77777777" w:rsidR="00891E2E" w:rsidRDefault="00891E2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D436" w14:textId="77777777" w:rsidR="0013011C" w:rsidRDefault="00000000">
    <w:pPr>
      <w:pStyle w:val="Encabezado"/>
    </w:pPr>
    <w:r>
      <w:rPr>
        <w:noProof/>
        <w:lang w:eastAsia="es-MX"/>
      </w:rPr>
      <w:pict w14:anchorId="6C5AC7DA">
        <v:group id="6 Grupo" o:spid="_x0000_s1029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2DEEAA0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CDBF61C" w14:textId="77777777"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D7D5EEC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B18C86A" w14:textId="157C043A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81D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C935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0CD47A7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7E428D88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1B1DECB">
        <v:line id="4 Conector recto" o:spid="_x0000_s1028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5D78E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FBD0177">
        <v:line id="1 Conector recto" o:spid="_x0000_s1027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797"/>
    <w:multiLevelType w:val="hybridMultilevel"/>
    <w:tmpl w:val="59965ED4"/>
    <w:lvl w:ilvl="0" w:tplc="FC307E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9C1244"/>
    <w:multiLevelType w:val="hybridMultilevel"/>
    <w:tmpl w:val="CB18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51039F8"/>
    <w:multiLevelType w:val="hybridMultilevel"/>
    <w:tmpl w:val="F86E23B4"/>
    <w:lvl w:ilvl="0" w:tplc="A43C0EA4">
      <w:start w:val="1"/>
      <w:numFmt w:val="upp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4432A1"/>
    <w:multiLevelType w:val="hybridMultilevel"/>
    <w:tmpl w:val="744283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37755"/>
    <w:multiLevelType w:val="hybridMultilevel"/>
    <w:tmpl w:val="365E03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736E"/>
    <w:multiLevelType w:val="hybridMultilevel"/>
    <w:tmpl w:val="332A2E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6C3A9A"/>
    <w:multiLevelType w:val="hybridMultilevel"/>
    <w:tmpl w:val="B24E07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250FA"/>
    <w:multiLevelType w:val="hybridMultilevel"/>
    <w:tmpl w:val="BA085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BC2749"/>
    <w:multiLevelType w:val="hybridMultilevel"/>
    <w:tmpl w:val="ADE840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A5961"/>
    <w:multiLevelType w:val="hybridMultilevel"/>
    <w:tmpl w:val="A45E42F8"/>
    <w:lvl w:ilvl="0" w:tplc="B98E02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969E5"/>
    <w:multiLevelType w:val="hybridMultilevel"/>
    <w:tmpl w:val="476683BC"/>
    <w:lvl w:ilvl="0" w:tplc="1090D7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178CA"/>
    <w:multiLevelType w:val="hybridMultilevel"/>
    <w:tmpl w:val="2D0A66CA"/>
    <w:lvl w:ilvl="0" w:tplc="A958106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D91D32"/>
    <w:multiLevelType w:val="hybridMultilevel"/>
    <w:tmpl w:val="C428B450"/>
    <w:lvl w:ilvl="0" w:tplc="1090D70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70458"/>
    <w:multiLevelType w:val="hybridMultilevel"/>
    <w:tmpl w:val="CAD87ED8"/>
    <w:lvl w:ilvl="0" w:tplc="1090D70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F52FB6"/>
    <w:multiLevelType w:val="hybridMultilevel"/>
    <w:tmpl w:val="40B243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E24FE"/>
    <w:multiLevelType w:val="hybridMultilevel"/>
    <w:tmpl w:val="6EFEA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16FB0"/>
    <w:multiLevelType w:val="hybridMultilevel"/>
    <w:tmpl w:val="B336B5E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924FCC"/>
    <w:multiLevelType w:val="hybridMultilevel"/>
    <w:tmpl w:val="345E46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97A51"/>
    <w:multiLevelType w:val="hybridMultilevel"/>
    <w:tmpl w:val="AB9C07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9193386">
    <w:abstractNumId w:val="1"/>
  </w:num>
  <w:num w:numId="2" w16cid:durableId="1590656596">
    <w:abstractNumId w:val="3"/>
  </w:num>
  <w:num w:numId="3" w16cid:durableId="884561451">
    <w:abstractNumId w:val="12"/>
  </w:num>
  <w:num w:numId="4" w16cid:durableId="1008675594">
    <w:abstractNumId w:val="7"/>
  </w:num>
  <w:num w:numId="5" w16cid:durableId="2091417277">
    <w:abstractNumId w:val="6"/>
  </w:num>
  <w:num w:numId="6" w16cid:durableId="2080667515">
    <w:abstractNumId w:val="17"/>
  </w:num>
  <w:num w:numId="7" w16cid:durableId="164440127">
    <w:abstractNumId w:val="26"/>
  </w:num>
  <w:num w:numId="8" w16cid:durableId="1598096655">
    <w:abstractNumId w:val="19"/>
  </w:num>
  <w:num w:numId="9" w16cid:durableId="203295090">
    <w:abstractNumId w:val="14"/>
  </w:num>
  <w:num w:numId="10" w16cid:durableId="759764931">
    <w:abstractNumId w:val="0"/>
  </w:num>
  <w:num w:numId="11" w16cid:durableId="1858077671">
    <w:abstractNumId w:val="9"/>
  </w:num>
  <w:num w:numId="12" w16cid:durableId="1238831989">
    <w:abstractNumId w:val="4"/>
  </w:num>
  <w:num w:numId="13" w16cid:durableId="1253710068">
    <w:abstractNumId w:val="15"/>
  </w:num>
  <w:num w:numId="14" w16cid:durableId="4481251">
    <w:abstractNumId w:val="18"/>
  </w:num>
  <w:num w:numId="15" w16cid:durableId="505708519">
    <w:abstractNumId w:val="21"/>
  </w:num>
  <w:num w:numId="16" w16cid:durableId="647902461">
    <w:abstractNumId w:val="16"/>
  </w:num>
  <w:num w:numId="17" w16cid:durableId="35551150">
    <w:abstractNumId w:val="25"/>
  </w:num>
  <w:num w:numId="18" w16cid:durableId="1142311819">
    <w:abstractNumId w:val="20"/>
  </w:num>
  <w:num w:numId="19" w16cid:durableId="1231189231">
    <w:abstractNumId w:val="11"/>
  </w:num>
  <w:num w:numId="20" w16cid:durableId="1810393480">
    <w:abstractNumId w:val="22"/>
  </w:num>
  <w:num w:numId="21" w16cid:durableId="340352203">
    <w:abstractNumId w:val="2"/>
  </w:num>
  <w:num w:numId="22" w16cid:durableId="42415472">
    <w:abstractNumId w:val="23"/>
  </w:num>
  <w:num w:numId="23" w16cid:durableId="912816434">
    <w:abstractNumId w:val="10"/>
  </w:num>
  <w:num w:numId="24" w16cid:durableId="2144148937">
    <w:abstractNumId w:val="5"/>
  </w:num>
  <w:num w:numId="25" w16cid:durableId="1123616206">
    <w:abstractNumId w:val="13"/>
  </w:num>
  <w:num w:numId="26" w16cid:durableId="361634891">
    <w:abstractNumId w:val="8"/>
  </w:num>
  <w:num w:numId="27" w16cid:durableId="19531278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5951"/>
    <w:rsid w:val="00040466"/>
    <w:rsid w:val="00042519"/>
    <w:rsid w:val="000454EA"/>
    <w:rsid w:val="00054B24"/>
    <w:rsid w:val="00055300"/>
    <w:rsid w:val="00056042"/>
    <w:rsid w:val="00067787"/>
    <w:rsid w:val="00075F11"/>
    <w:rsid w:val="00076A56"/>
    <w:rsid w:val="00081D79"/>
    <w:rsid w:val="000A2A48"/>
    <w:rsid w:val="000A65B1"/>
    <w:rsid w:val="000B3FD4"/>
    <w:rsid w:val="000F6D16"/>
    <w:rsid w:val="00101C5D"/>
    <w:rsid w:val="001137E3"/>
    <w:rsid w:val="0013011C"/>
    <w:rsid w:val="00146E12"/>
    <w:rsid w:val="001646D9"/>
    <w:rsid w:val="00174F20"/>
    <w:rsid w:val="00183FBE"/>
    <w:rsid w:val="00196D0F"/>
    <w:rsid w:val="001A2431"/>
    <w:rsid w:val="001B1B72"/>
    <w:rsid w:val="001F7AA6"/>
    <w:rsid w:val="0020797E"/>
    <w:rsid w:val="002549E7"/>
    <w:rsid w:val="002865A7"/>
    <w:rsid w:val="00287324"/>
    <w:rsid w:val="0029674A"/>
    <w:rsid w:val="002A6835"/>
    <w:rsid w:val="002A70B3"/>
    <w:rsid w:val="002D4C8A"/>
    <w:rsid w:val="002E06B4"/>
    <w:rsid w:val="002E5897"/>
    <w:rsid w:val="002F2773"/>
    <w:rsid w:val="00307635"/>
    <w:rsid w:val="0032095C"/>
    <w:rsid w:val="00322A09"/>
    <w:rsid w:val="00343791"/>
    <w:rsid w:val="00355821"/>
    <w:rsid w:val="003575A4"/>
    <w:rsid w:val="003610E0"/>
    <w:rsid w:val="00372F40"/>
    <w:rsid w:val="00380130"/>
    <w:rsid w:val="00387A2B"/>
    <w:rsid w:val="003A6522"/>
    <w:rsid w:val="003B028F"/>
    <w:rsid w:val="003D0D78"/>
    <w:rsid w:val="003D5DBF"/>
    <w:rsid w:val="003E7FD0"/>
    <w:rsid w:val="003F05C2"/>
    <w:rsid w:val="004137E3"/>
    <w:rsid w:val="0044253C"/>
    <w:rsid w:val="00443075"/>
    <w:rsid w:val="00486AE1"/>
    <w:rsid w:val="00497D8B"/>
    <w:rsid w:val="004D0129"/>
    <w:rsid w:val="004D41B8"/>
    <w:rsid w:val="00502D8E"/>
    <w:rsid w:val="005117F4"/>
    <w:rsid w:val="00522632"/>
    <w:rsid w:val="00531310"/>
    <w:rsid w:val="00534982"/>
    <w:rsid w:val="00537B1A"/>
    <w:rsid w:val="00540418"/>
    <w:rsid w:val="00582405"/>
    <w:rsid w:val="005840B5"/>
    <w:rsid w:val="005852BC"/>
    <w:rsid w:val="005859FA"/>
    <w:rsid w:val="00597742"/>
    <w:rsid w:val="005D75D1"/>
    <w:rsid w:val="005E2EB5"/>
    <w:rsid w:val="005F103E"/>
    <w:rsid w:val="005F7589"/>
    <w:rsid w:val="006048D2"/>
    <w:rsid w:val="00611E39"/>
    <w:rsid w:val="00623300"/>
    <w:rsid w:val="006458E9"/>
    <w:rsid w:val="006A4F83"/>
    <w:rsid w:val="006B729B"/>
    <w:rsid w:val="006D291A"/>
    <w:rsid w:val="006E1FB7"/>
    <w:rsid w:val="006E6B8E"/>
    <w:rsid w:val="006E77DD"/>
    <w:rsid w:val="00731430"/>
    <w:rsid w:val="00742E35"/>
    <w:rsid w:val="00746D9B"/>
    <w:rsid w:val="0075717E"/>
    <w:rsid w:val="0079582C"/>
    <w:rsid w:val="007C3C68"/>
    <w:rsid w:val="007D1E43"/>
    <w:rsid w:val="007D6E9A"/>
    <w:rsid w:val="0082753C"/>
    <w:rsid w:val="0082761D"/>
    <w:rsid w:val="0082781F"/>
    <w:rsid w:val="00850E90"/>
    <w:rsid w:val="00891E2E"/>
    <w:rsid w:val="00897D42"/>
    <w:rsid w:val="00897F46"/>
    <w:rsid w:val="008A6E4D"/>
    <w:rsid w:val="008B0017"/>
    <w:rsid w:val="008B6826"/>
    <w:rsid w:val="008C5A3B"/>
    <w:rsid w:val="008D4272"/>
    <w:rsid w:val="008E3652"/>
    <w:rsid w:val="008F204E"/>
    <w:rsid w:val="00911EF6"/>
    <w:rsid w:val="00965EFE"/>
    <w:rsid w:val="009E16FC"/>
    <w:rsid w:val="009E5258"/>
    <w:rsid w:val="009F62E7"/>
    <w:rsid w:val="00A14B74"/>
    <w:rsid w:val="00A516D8"/>
    <w:rsid w:val="00A71207"/>
    <w:rsid w:val="00A8165C"/>
    <w:rsid w:val="00AB13B7"/>
    <w:rsid w:val="00AC1FDF"/>
    <w:rsid w:val="00AC7243"/>
    <w:rsid w:val="00AD70F5"/>
    <w:rsid w:val="00AD791F"/>
    <w:rsid w:val="00AE59F4"/>
    <w:rsid w:val="00AE642C"/>
    <w:rsid w:val="00B166A9"/>
    <w:rsid w:val="00B17423"/>
    <w:rsid w:val="00B372A2"/>
    <w:rsid w:val="00B42A02"/>
    <w:rsid w:val="00B43C7F"/>
    <w:rsid w:val="00B56B2B"/>
    <w:rsid w:val="00B716BE"/>
    <w:rsid w:val="00B844F0"/>
    <w:rsid w:val="00B849EE"/>
    <w:rsid w:val="00B96907"/>
    <w:rsid w:val="00BD6A5B"/>
    <w:rsid w:val="00BF28A4"/>
    <w:rsid w:val="00C13551"/>
    <w:rsid w:val="00C33401"/>
    <w:rsid w:val="00C419B3"/>
    <w:rsid w:val="00C43968"/>
    <w:rsid w:val="00C44F01"/>
    <w:rsid w:val="00C762B8"/>
    <w:rsid w:val="00C85A3B"/>
    <w:rsid w:val="00C93559"/>
    <w:rsid w:val="00CA09E5"/>
    <w:rsid w:val="00CA2D37"/>
    <w:rsid w:val="00CA7EAA"/>
    <w:rsid w:val="00CB42AC"/>
    <w:rsid w:val="00CC5CB6"/>
    <w:rsid w:val="00D02A82"/>
    <w:rsid w:val="00D055EC"/>
    <w:rsid w:val="00D25F34"/>
    <w:rsid w:val="00D404ED"/>
    <w:rsid w:val="00D51261"/>
    <w:rsid w:val="00D5675C"/>
    <w:rsid w:val="00D748D3"/>
    <w:rsid w:val="00D75A56"/>
    <w:rsid w:val="00D848D7"/>
    <w:rsid w:val="00DD230F"/>
    <w:rsid w:val="00DE728C"/>
    <w:rsid w:val="00E001B2"/>
    <w:rsid w:val="00E32708"/>
    <w:rsid w:val="00E45FD0"/>
    <w:rsid w:val="00E81959"/>
    <w:rsid w:val="00EA5418"/>
    <w:rsid w:val="00EB215E"/>
    <w:rsid w:val="00EC28F3"/>
    <w:rsid w:val="00ED65D7"/>
    <w:rsid w:val="00F474E9"/>
    <w:rsid w:val="00F745E7"/>
    <w:rsid w:val="00F96944"/>
    <w:rsid w:val="00FA3FB9"/>
    <w:rsid w:val="00FA5247"/>
    <w:rsid w:val="00FB24F8"/>
    <w:rsid w:val="00FD5667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FF203"/>
  <w15:docId w15:val="{4035D058-9DAD-4E6C-BE51-25B63B8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7579-6C28-463C-BB6C-28748AAA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1657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Fomtlax-Cont01</cp:lastModifiedBy>
  <cp:revision>64</cp:revision>
  <cp:lastPrinted>2024-01-08T15:13:00Z</cp:lastPrinted>
  <dcterms:created xsi:type="dcterms:W3CDTF">2014-09-01T14:30:00Z</dcterms:created>
  <dcterms:modified xsi:type="dcterms:W3CDTF">2024-07-05T15:29:00Z</dcterms:modified>
</cp:coreProperties>
</file>